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4C14E4">
      <w:pPr>
        <w:spacing w:line="360" w:lineRule="auto"/>
        <w:jc w:val="center"/>
        <w:rPr>
          <w:rFonts w:ascii="宋体" w:hAnsi="宋体" w:eastAsia="宋体"/>
          <w:b/>
          <w:sz w:val="32"/>
          <w:szCs w:val="24"/>
        </w:rPr>
      </w:pPr>
      <w:r>
        <w:rPr>
          <w:rFonts w:hint="eastAsia" w:ascii="宋体" w:hAnsi="宋体" w:eastAsia="宋体"/>
          <w:b/>
          <w:sz w:val="32"/>
          <w:szCs w:val="24"/>
        </w:rPr>
        <w:t>珠海市中西医结合医院仓库租赁服务采购项目需求</w:t>
      </w:r>
    </w:p>
    <w:p w14:paraId="7E40BAE2">
      <w:pPr>
        <w:autoSpaceDE w:val="0"/>
        <w:autoSpaceDN w:val="0"/>
        <w:adjustRightInd w:val="0"/>
        <w:spacing w:line="360" w:lineRule="auto"/>
        <w:jc w:val="lef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一、概况</w:t>
      </w:r>
    </w:p>
    <w:p w14:paraId="7D38AB59">
      <w:pPr>
        <w:spacing w:line="360" w:lineRule="auto"/>
        <w:rPr>
          <w:rFonts w:ascii="宋体" w:hAnsi="宋体" w:eastAsia="宋体"/>
          <w:sz w:val="24"/>
          <w:szCs w:val="24"/>
        </w:rPr>
      </w:pPr>
      <w:r>
        <w:rPr>
          <w:rFonts w:ascii="宋体" w:hAnsi="宋体" w:eastAsia="宋体" w:cs="宋体"/>
          <w:kern w:val="0"/>
          <w:sz w:val="24"/>
          <w:szCs w:val="24"/>
        </w:rPr>
        <w:t>1</w:t>
      </w:r>
      <w:r>
        <w:rPr>
          <w:rFonts w:hint="eastAsia" w:ascii="宋体" w:hAnsi="宋体" w:eastAsia="宋体" w:cs="宋体"/>
          <w:kern w:val="0"/>
          <w:sz w:val="24"/>
          <w:szCs w:val="24"/>
        </w:rPr>
        <w:t>、项目名称：</w:t>
      </w:r>
      <w:r>
        <w:rPr>
          <w:rFonts w:ascii="微软雅黑" w:hAnsi="微软雅黑" w:eastAsia="微软雅黑" w:cs="微软雅黑"/>
          <w:color w:val="333333"/>
          <w:sz w:val="24"/>
          <w:szCs w:val="24"/>
          <w:shd w:val="clear" w:color="auto" w:fill="FFFFFF"/>
        </w:rPr>
        <w:t>珠海市中西医结合医院仓库租赁服务采购项目</w:t>
      </w:r>
    </w:p>
    <w:p w14:paraId="21633292">
      <w:pPr>
        <w:autoSpaceDE w:val="0"/>
        <w:autoSpaceDN w:val="0"/>
        <w:adjustRightInd w:val="0"/>
        <w:spacing w:line="360" w:lineRule="auto"/>
        <w:jc w:val="left"/>
        <w:rPr>
          <w:rFonts w:ascii="宋体" w:hAnsi="宋体" w:eastAsia="宋体"/>
          <w:sz w:val="24"/>
          <w:szCs w:val="24"/>
        </w:rPr>
      </w:pPr>
      <w:r>
        <w:rPr>
          <w:rFonts w:ascii="宋体" w:hAnsi="宋体" w:eastAsia="宋体" w:cs="宋体"/>
          <w:kern w:val="0"/>
          <w:sz w:val="24"/>
          <w:szCs w:val="24"/>
        </w:rPr>
        <w:t>2</w:t>
      </w:r>
      <w:r>
        <w:rPr>
          <w:rFonts w:hint="eastAsia" w:ascii="宋体" w:hAnsi="宋体" w:eastAsia="宋体" w:cs="宋体"/>
          <w:kern w:val="0"/>
          <w:sz w:val="24"/>
          <w:szCs w:val="24"/>
        </w:rPr>
        <w:t>、服务范围</w:t>
      </w:r>
      <w:r>
        <w:rPr>
          <w:rFonts w:hint="eastAsia" w:ascii="宋体" w:hAnsi="宋体" w:eastAsia="宋体"/>
          <w:sz w:val="24"/>
          <w:szCs w:val="24"/>
        </w:rPr>
        <w:t>：珠海市中西医结合医院</w:t>
      </w:r>
      <w:r>
        <w:rPr>
          <w:rFonts w:hint="eastAsia" w:ascii="宋体" w:hAnsi="宋体" w:eastAsia="宋体"/>
          <w:sz w:val="24"/>
          <w:szCs w:val="24"/>
          <w:lang w:val="en-US" w:eastAsia="zh-CN"/>
        </w:rPr>
        <w:t>已报废待处置</w:t>
      </w:r>
      <w:r>
        <w:rPr>
          <w:rFonts w:hint="eastAsia" w:ascii="宋体" w:hAnsi="宋体" w:eastAsia="宋体"/>
          <w:sz w:val="24"/>
          <w:szCs w:val="24"/>
        </w:rPr>
        <w:t>固定资产存放</w:t>
      </w:r>
    </w:p>
    <w:p w14:paraId="7DDBF381">
      <w:pPr>
        <w:pStyle w:val="2"/>
        <w:spacing w:line="360" w:lineRule="auto"/>
        <w:ind w:firstLine="0" w:firstLineChars="0"/>
        <w:rPr>
          <w:rFonts w:ascii="宋体" w:hAnsi="宋体" w:eastAsia="宋体"/>
          <w:sz w:val="24"/>
          <w:lang w:val="en-US"/>
        </w:rPr>
      </w:pPr>
      <w:r>
        <w:rPr>
          <w:rFonts w:hint="eastAsia" w:ascii="宋体" w:hAnsi="宋体" w:eastAsia="宋体"/>
          <w:sz w:val="24"/>
          <w:lang w:val="en-US"/>
        </w:rPr>
        <w:t>3、面积要求：</w:t>
      </w:r>
      <w:r>
        <w:rPr>
          <w:rFonts w:hint="eastAsia" w:ascii="宋体" w:hAnsi="宋体" w:eastAsia="宋体"/>
          <w:sz w:val="24"/>
          <w:lang w:val="en-US" w:eastAsia="zh-CN"/>
        </w:rPr>
        <w:t>≥</w:t>
      </w:r>
      <w:r>
        <w:rPr>
          <w:rFonts w:hint="eastAsia" w:ascii="宋体" w:hAnsi="宋体" w:eastAsia="宋体"/>
          <w:sz w:val="24"/>
          <w:lang w:val="en-US"/>
        </w:rPr>
        <w:t>2400㎡</w:t>
      </w:r>
    </w:p>
    <w:p w14:paraId="09DE7EE7">
      <w:pPr>
        <w:pStyle w:val="2"/>
        <w:spacing w:line="360" w:lineRule="auto"/>
        <w:ind w:firstLine="0" w:firstLineChars="0"/>
        <w:rPr>
          <w:rFonts w:hint="eastAsia" w:ascii="宋体" w:hAnsi="宋体" w:eastAsia="宋体"/>
          <w:sz w:val="24"/>
          <w:lang w:val="en-US"/>
        </w:rPr>
      </w:pPr>
      <w:r>
        <w:rPr>
          <w:rFonts w:hint="eastAsia" w:ascii="宋体" w:hAnsi="宋体" w:eastAsia="宋体"/>
          <w:sz w:val="24"/>
          <w:lang w:val="en-US"/>
        </w:rPr>
        <w:t>4、租赁时间：202</w:t>
      </w:r>
      <w:r>
        <w:rPr>
          <w:rFonts w:hint="eastAsia" w:ascii="宋体" w:hAnsi="宋体" w:eastAsia="宋体"/>
          <w:sz w:val="24"/>
          <w:lang w:val="en-US" w:eastAsia="zh-CN"/>
        </w:rPr>
        <w:t>7</w:t>
      </w:r>
      <w:r>
        <w:rPr>
          <w:rFonts w:hint="eastAsia" w:ascii="宋体" w:hAnsi="宋体" w:eastAsia="宋体"/>
          <w:sz w:val="24"/>
          <w:lang w:val="en-US"/>
        </w:rPr>
        <w:t>年1月10日起</w:t>
      </w:r>
    </w:p>
    <w:p w14:paraId="77E4AB3E">
      <w:pPr>
        <w:pStyle w:val="2"/>
        <w:spacing w:line="360" w:lineRule="auto"/>
        <w:ind w:firstLine="0" w:firstLineChars="0"/>
        <w:rPr>
          <w:rFonts w:ascii="宋体" w:hAnsi="宋体" w:eastAsia="宋体"/>
          <w:sz w:val="24"/>
          <w:lang w:val="en-US"/>
        </w:rPr>
      </w:pPr>
      <w:r>
        <w:rPr>
          <w:rFonts w:hint="eastAsia" w:ascii="宋体" w:hAnsi="宋体" w:eastAsia="宋体"/>
          <w:sz w:val="24"/>
          <w:lang w:val="en-US"/>
        </w:rPr>
        <w:t>5、租赁期限：1年</w:t>
      </w:r>
    </w:p>
    <w:p w14:paraId="0FD5D052">
      <w:pPr>
        <w:widowControl/>
        <w:tabs>
          <w:tab w:val="left" w:pos="780"/>
        </w:tabs>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rPr>
        <w:t>6、项目</w:t>
      </w:r>
      <w:r>
        <w:rPr>
          <w:rFonts w:hint="eastAsia" w:ascii="宋体" w:hAnsi="宋体" w:eastAsia="宋体" w:cs="宋体"/>
          <w:kern w:val="0"/>
          <w:sz w:val="24"/>
          <w:szCs w:val="24"/>
          <w:lang w:val="en-US" w:eastAsia="zh-CN"/>
        </w:rPr>
        <w:t>预算价</w:t>
      </w:r>
      <w:r>
        <w:rPr>
          <w:rFonts w:hint="eastAsia" w:ascii="宋体" w:hAnsi="宋体" w:eastAsia="宋体" w:cs="宋体"/>
          <w:kern w:val="0"/>
          <w:sz w:val="24"/>
          <w:szCs w:val="24"/>
        </w:rPr>
        <w:t>：339500元（含税含管理费）</w:t>
      </w:r>
    </w:p>
    <w:p w14:paraId="61A45585">
      <w:pPr>
        <w:pStyle w:val="2"/>
        <w:ind w:firstLine="0" w:firstLineChars="0"/>
        <w:rPr>
          <w:lang w:val="en-US"/>
        </w:rPr>
      </w:pPr>
      <w:r>
        <w:rPr>
          <w:rFonts w:hint="eastAsia" w:ascii="宋体" w:hAnsi="宋体" w:eastAsia="宋体" w:cs="宋体"/>
          <w:sz w:val="24"/>
          <w:lang w:val="en-US"/>
        </w:rPr>
        <w:t>7、支付方式：租金按季度支付</w:t>
      </w:r>
    </w:p>
    <w:p w14:paraId="5BEDE0FF">
      <w:pPr>
        <w:pStyle w:val="2"/>
        <w:spacing w:line="360" w:lineRule="auto"/>
        <w:ind w:firstLine="0" w:firstLineChars="0"/>
        <w:rPr>
          <w:rFonts w:hint="eastAsia" w:ascii="宋体" w:hAnsi="宋体" w:eastAsia="宋体"/>
          <w:sz w:val="24"/>
          <w:lang w:val="en-US" w:eastAsia="zh-CN"/>
        </w:rPr>
      </w:pPr>
      <w:r>
        <w:rPr>
          <w:rFonts w:hint="eastAsia" w:ascii="宋体" w:hAnsi="宋体" w:eastAsia="宋体"/>
          <w:sz w:val="24"/>
          <w:lang w:val="en-US" w:eastAsia="zh-CN"/>
        </w:rPr>
        <w:t>二、资质要求</w:t>
      </w:r>
    </w:p>
    <w:p w14:paraId="0CBAA1DA">
      <w:pPr>
        <w:pStyle w:val="2"/>
        <w:spacing w:line="360" w:lineRule="auto"/>
        <w:ind w:firstLine="0" w:firstLineChars="0"/>
        <w:rPr>
          <w:rFonts w:hint="default" w:ascii="宋体" w:hAnsi="宋体" w:eastAsia="宋体"/>
          <w:sz w:val="24"/>
          <w:lang w:val="en-US" w:eastAsia="zh-CN"/>
        </w:rPr>
      </w:pPr>
      <w:r>
        <w:rPr>
          <w:rFonts w:hint="eastAsia" w:ascii="宋体" w:hAnsi="宋体" w:eastAsia="宋体"/>
          <w:sz w:val="24"/>
          <w:lang w:val="en-US" w:eastAsia="zh-CN"/>
        </w:rPr>
        <w:t>1、具备《政府采购法》第二十二条规定的条件,且提供以下证明文件：</w:t>
      </w:r>
    </w:p>
    <w:p w14:paraId="37FC8C59">
      <w:pPr>
        <w:pStyle w:val="2"/>
        <w:spacing w:line="360" w:lineRule="auto"/>
        <w:ind w:firstLine="0" w:firstLineChars="0"/>
        <w:rPr>
          <w:rFonts w:hint="eastAsia" w:ascii="宋体" w:hAnsi="宋体" w:eastAsia="宋体"/>
          <w:sz w:val="24"/>
          <w:lang w:val="en-US" w:eastAsia="zh-CN"/>
        </w:rPr>
      </w:pPr>
      <w:r>
        <w:rPr>
          <w:rFonts w:hint="eastAsia" w:ascii="宋体" w:hAnsi="宋体" w:eastAsia="宋体"/>
          <w:sz w:val="24"/>
          <w:lang w:val="en-US" w:eastAsia="zh-CN"/>
        </w:rPr>
        <w:t>（1）具有独立承担民事责任的能力：在中华人民共和国境内注册的法人或其他组织或自然人，投标时提交有效的营业执照（或事业法人登记证或身份证等相关证明）副本复印件。</w:t>
      </w:r>
    </w:p>
    <w:p w14:paraId="1B1888FF">
      <w:pPr>
        <w:pStyle w:val="2"/>
        <w:spacing w:line="360" w:lineRule="auto"/>
        <w:ind w:firstLine="0" w:firstLineChars="0"/>
        <w:rPr>
          <w:rFonts w:hint="eastAsia" w:ascii="宋体" w:hAnsi="宋体" w:eastAsia="宋体"/>
          <w:sz w:val="24"/>
          <w:lang w:val="en-US" w:eastAsia="zh-CN"/>
        </w:rPr>
      </w:pPr>
      <w:r>
        <w:rPr>
          <w:rFonts w:hint="eastAsia" w:ascii="宋体" w:hAnsi="宋体" w:eastAsia="宋体"/>
          <w:sz w:val="24"/>
          <w:lang w:val="en-US" w:eastAsia="zh-CN"/>
        </w:rPr>
        <w:t>（2）具有良好的商业信誉和健全的财务会计制度：提供《资格条件承诺函》。</w:t>
      </w:r>
    </w:p>
    <w:p w14:paraId="2BA36EBF">
      <w:pPr>
        <w:pStyle w:val="2"/>
        <w:spacing w:line="360" w:lineRule="auto"/>
        <w:ind w:firstLine="0" w:firstLineChars="0"/>
        <w:rPr>
          <w:rFonts w:hint="eastAsia" w:ascii="宋体" w:hAnsi="宋体" w:eastAsia="宋体"/>
          <w:sz w:val="24"/>
          <w:lang w:val="en-US" w:eastAsia="zh-CN"/>
        </w:rPr>
      </w:pPr>
      <w:r>
        <w:rPr>
          <w:rFonts w:hint="eastAsia" w:ascii="宋体" w:hAnsi="宋体" w:eastAsia="宋体"/>
          <w:sz w:val="24"/>
          <w:lang w:val="en-US" w:eastAsia="zh-CN"/>
        </w:rPr>
        <w:t>（3）履行合同所必须的设备和专业技术能力：提供《资格条件承诺函》。</w:t>
      </w:r>
    </w:p>
    <w:p w14:paraId="3CCE7D3E">
      <w:pPr>
        <w:pStyle w:val="2"/>
        <w:spacing w:line="360" w:lineRule="auto"/>
        <w:ind w:firstLine="0" w:firstLineChars="0"/>
        <w:rPr>
          <w:rFonts w:hint="eastAsia" w:ascii="宋体" w:hAnsi="宋体" w:eastAsia="宋体"/>
          <w:sz w:val="24"/>
          <w:lang w:val="en-US" w:eastAsia="zh-CN"/>
        </w:rPr>
      </w:pPr>
      <w:r>
        <w:rPr>
          <w:rFonts w:hint="eastAsia" w:ascii="宋体" w:hAnsi="宋体" w:eastAsia="宋体"/>
          <w:sz w:val="24"/>
          <w:lang w:val="en-US" w:eastAsia="zh-CN"/>
        </w:rPr>
        <w:t>（4）有依法缴纳税收和社会保障资金的良好记录：提供《资格条件承诺函》。</w:t>
      </w:r>
    </w:p>
    <w:p w14:paraId="72869495">
      <w:pPr>
        <w:pStyle w:val="2"/>
        <w:spacing w:line="360" w:lineRule="auto"/>
        <w:ind w:firstLine="0" w:firstLineChars="0"/>
        <w:rPr>
          <w:rFonts w:hint="eastAsia" w:ascii="宋体" w:hAnsi="宋体" w:eastAsia="宋体"/>
          <w:sz w:val="24"/>
          <w:lang w:val="en-US" w:eastAsia="zh-CN"/>
        </w:rPr>
      </w:pPr>
      <w:r>
        <w:rPr>
          <w:rFonts w:hint="eastAsia" w:ascii="宋体" w:hAnsi="宋体" w:eastAsia="宋体"/>
          <w:sz w:val="24"/>
          <w:lang w:val="en-US" w:eastAsia="zh-CN"/>
        </w:rPr>
        <w:t>（5）参加采购活动前3年内，在经营活动中没有重大违法记录：重大违法记录，是指供应商因违法经营受到刑事处罚或者责令停产停业、吊销许可证或者执照、较大数额罚款等行政处罚。（根据财库〔2022〕3 号文，较大数额罚款认定为200万元以上的罚款，法律、行政法规以及国务院有关部门明确规定相关领域“较大数额罚款”标准高于200万元的，从其规定）。提供《资格条件承诺函》。</w:t>
      </w:r>
    </w:p>
    <w:p w14:paraId="21D35216">
      <w:pPr>
        <w:pStyle w:val="2"/>
        <w:spacing w:line="360" w:lineRule="auto"/>
        <w:ind w:firstLine="0" w:firstLineChars="0"/>
        <w:rPr>
          <w:rFonts w:hint="eastAsia" w:ascii="宋体" w:hAnsi="宋体" w:eastAsia="宋体"/>
          <w:sz w:val="24"/>
          <w:lang w:val="en-US" w:eastAsia="zh-CN"/>
        </w:rPr>
      </w:pPr>
      <w:r>
        <w:rPr>
          <w:rFonts w:hint="eastAsia" w:ascii="宋体" w:hAnsi="宋体" w:eastAsia="宋体"/>
          <w:sz w:val="24"/>
          <w:lang w:val="en-US" w:eastAsia="zh-CN"/>
        </w:rPr>
        <w:t>2.落实政府采购政策需满足的资格要求：本采购属于专门面向中小企业采购的项目，投标文件中需提供《中小企业声明函》或者属于监狱企业的证明材料或者《残疾人福利性单位声明函》。（中小企业划型行业为：租赁和商务服务业）</w:t>
      </w:r>
    </w:p>
    <w:p w14:paraId="43C0442C">
      <w:pPr>
        <w:pStyle w:val="2"/>
        <w:spacing w:line="360" w:lineRule="auto"/>
        <w:ind w:firstLine="0" w:firstLineChars="0"/>
        <w:rPr>
          <w:rFonts w:hint="eastAsia" w:ascii="宋体" w:hAnsi="宋体" w:eastAsia="宋体"/>
          <w:sz w:val="24"/>
          <w:lang w:val="en-US" w:eastAsia="zh-CN"/>
        </w:rPr>
      </w:pPr>
      <w:r>
        <w:rPr>
          <w:rFonts w:hint="eastAsia" w:ascii="宋体" w:hAnsi="宋体" w:eastAsia="宋体"/>
          <w:sz w:val="24"/>
          <w:lang w:val="en-US" w:eastAsia="zh-CN"/>
        </w:rPr>
        <w:t>3.本项目的特定资格要求：</w:t>
      </w:r>
    </w:p>
    <w:p w14:paraId="2FE16D72">
      <w:pPr>
        <w:pStyle w:val="2"/>
        <w:spacing w:line="360" w:lineRule="auto"/>
        <w:ind w:firstLine="0" w:firstLineChars="0"/>
        <w:rPr>
          <w:rFonts w:hint="eastAsia" w:ascii="宋体" w:hAnsi="宋体" w:eastAsia="宋体"/>
          <w:sz w:val="24"/>
          <w:lang w:val="en-US" w:eastAsia="zh-CN"/>
        </w:rPr>
      </w:pPr>
      <w:r>
        <w:rPr>
          <w:rFonts w:hint="eastAsia" w:ascii="宋体" w:hAnsi="宋体" w:eastAsia="宋体"/>
          <w:sz w:val="24"/>
          <w:lang w:val="en-US" w:eastAsia="zh-CN"/>
        </w:rPr>
        <w:t>（1）投标人未被列入“信用中国”网站(www.creditchina.gov.cn)中的“失信被执行人”或“重大税收违法案件当事人名单（即税收违法黑名单）”或“政府采购严重违法失信名单”记录名单内；在信用中国（广东珠海）网站（http：//credit.zhuhai.gov.cn）中不存在近三年因违法经营受到责令停产停业、吊销许可证或者执照、较大数额罚款等重大违法记录；不处于中国政府采购网(www.ccgp.gov.cn)“政府采购严重违法失信行为信息记录”中的禁止参加政府采购活动期间；以采购代理机构于投标截止日至投标截止期间在上述网站查询结果为准，如相关失信记录已失效，投标人需提供相关证明资料。</w:t>
      </w:r>
    </w:p>
    <w:p w14:paraId="514D0F5C">
      <w:pPr>
        <w:pStyle w:val="2"/>
        <w:spacing w:line="360" w:lineRule="auto"/>
        <w:ind w:firstLine="0" w:firstLineChars="0"/>
        <w:rPr>
          <w:rFonts w:hint="eastAsia" w:ascii="宋体" w:hAnsi="宋体" w:eastAsia="宋体"/>
          <w:sz w:val="24"/>
          <w:lang w:val="en-US" w:eastAsia="zh-CN"/>
        </w:rPr>
      </w:pPr>
      <w:r>
        <w:rPr>
          <w:rFonts w:hint="eastAsia" w:ascii="宋体" w:hAnsi="宋体" w:eastAsia="宋体"/>
          <w:sz w:val="24"/>
          <w:lang w:val="en-US" w:eastAsia="zh-CN"/>
        </w:rPr>
        <w:t>（2）单位负责人为同一人或者存在直接控股、管理关系的不同供应商，不得参加同一包号投标或者未划分包号的同一招标项目投标。 (投标人出具资格声明函)</w:t>
      </w:r>
    </w:p>
    <w:p w14:paraId="500EC7A3">
      <w:pPr>
        <w:pStyle w:val="2"/>
        <w:spacing w:line="360" w:lineRule="auto"/>
        <w:ind w:firstLine="0" w:firstLineChars="0"/>
        <w:rPr>
          <w:rFonts w:hint="eastAsia" w:ascii="宋体" w:hAnsi="宋体" w:eastAsia="宋体"/>
          <w:sz w:val="24"/>
          <w:lang w:val="en-US" w:eastAsia="zh-CN"/>
        </w:rPr>
      </w:pPr>
      <w:r>
        <w:rPr>
          <w:rFonts w:hint="eastAsia" w:ascii="宋体" w:hAnsi="宋体" w:eastAsia="宋体"/>
          <w:sz w:val="24"/>
          <w:lang w:val="en-US" w:eastAsia="zh-CN"/>
        </w:rPr>
        <w:t>（3）本项目不接受联合体投标，不允许转包、分包。(投标人出具资格声明函)</w:t>
      </w:r>
    </w:p>
    <w:p w14:paraId="610B9C2A">
      <w:pPr>
        <w:pStyle w:val="2"/>
        <w:numPr>
          <w:ilvl w:val="0"/>
          <w:numId w:val="1"/>
        </w:numPr>
        <w:ind w:firstLine="0" w:firstLineChars="0"/>
        <w:rPr>
          <w:rFonts w:ascii="宋体" w:hAnsi="宋体" w:eastAsia="宋体" w:cs="宋体"/>
          <w:sz w:val="24"/>
          <w:lang w:val="en-US"/>
        </w:rPr>
      </w:pPr>
      <w:r>
        <w:rPr>
          <w:rFonts w:hint="eastAsia" w:cs="宋体"/>
          <w:sz w:val="24"/>
          <w:lang w:val="en-US"/>
        </w:rPr>
        <w:t>服务</w:t>
      </w:r>
      <w:r>
        <w:rPr>
          <w:rFonts w:hint="eastAsia" w:ascii="宋体" w:hAnsi="宋体" w:eastAsia="宋体" w:cs="宋体"/>
          <w:sz w:val="24"/>
          <w:lang w:val="en-US"/>
        </w:rPr>
        <w:t>要求:</w:t>
      </w:r>
    </w:p>
    <w:p w14:paraId="2421A984">
      <w:pPr>
        <w:pStyle w:val="2"/>
        <w:shd w:val="clear" w:color="auto" w:fill="FFFFFF" w:themeFill="background1"/>
        <w:ind w:firstLine="480"/>
        <w:rPr>
          <w:rFonts w:ascii="宋体" w:hAnsi="宋体" w:eastAsia="宋体" w:cs="宋体"/>
          <w:sz w:val="24"/>
          <w:highlight w:val="none"/>
          <w:lang w:val="en-US"/>
        </w:rPr>
      </w:pPr>
      <w:r>
        <w:rPr>
          <w:rFonts w:hint="eastAsia" w:cs="宋体"/>
          <w:sz w:val="24"/>
          <w:highlight w:val="none"/>
          <w:shd w:val="clear" w:color="auto" w:fill="FFFFFF" w:themeFill="background1"/>
          <w:lang w:val="en-US"/>
        </w:rPr>
        <w:t>1、</w:t>
      </w:r>
      <w:r>
        <w:rPr>
          <w:rFonts w:hint="eastAsia" w:ascii="宋体" w:hAnsi="宋体" w:eastAsia="宋体" w:cs="宋体"/>
          <w:sz w:val="24"/>
          <w:highlight w:val="none"/>
          <w:shd w:val="clear" w:color="auto" w:fill="FFFFFF" w:themeFill="background1"/>
          <w:lang w:val="en-US"/>
        </w:rPr>
        <w:t>楼层承重必须满足</w:t>
      </w:r>
      <w:r>
        <w:rPr>
          <w:rFonts w:hint="eastAsia" w:ascii="宋体" w:hAnsi="宋体" w:eastAsia="宋体"/>
          <w:sz w:val="24"/>
          <w:highlight w:val="none"/>
          <w:shd w:val="clear" w:color="auto" w:fill="FFFFFF" w:themeFill="background1"/>
        </w:rPr>
        <w:t>珠海市中西医结合医院固定资产存放</w:t>
      </w:r>
      <w:r>
        <w:rPr>
          <w:rFonts w:hint="eastAsia" w:ascii="宋体" w:hAnsi="宋体" w:eastAsia="宋体"/>
          <w:sz w:val="24"/>
          <w:highlight w:val="none"/>
          <w:shd w:val="clear" w:color="auto" w:fill="FFFFFF" w:themeFill="background1"/>
          <w:lang w:val="en-US" w:eastAsia="zh-CN"/>
        </w:rPr>
        <w:t>(楼层承重每平米≥800公斤</w:t>
      </w:r>
      <w:r>
        <w:rPr>
          <w:rFonts w:hint="eastAsia" w:ascii="宋体" w:hAnsi="宋体" w:eastAsia="宋体"/>
          <w:sz w:val="24"/>
          <w:highlight w:val="none"/>
          <w:shd w:val="clear" w:color="auto" w:fill="FFFFFF" w:themeFill="background1"/>
        </w:rPr>
        <w:t>（详见附件一（包括但不限于））</w:t>
      </w:r>
    </w:p>
    <w:p w14:paraId="0DC1932B">
      <w:pPr>
        <w:pStyle w:val="2"/>
        <w:ind w:firstLine="480"/>
        <w:rPr>
          <w:rFonts w:ascii="宋体" w:hAnsi="宋体" w:eastAsia="宋体"/>
          <w:sz w:val="24"/>
          <w:highlight w:val="none"/>
        </w:rPr>
      </w:pPr>
      <w:r>
        <w:rPr>
          <w:rFonts w:hint="eastAsia" w:cs="宋体"/>
          <w:sz w:val="24"/>
          <w:highlight w:val="none"/>
          <w:lang w:val="en-US"/>
        </w:rPr>
        <w:t>2、</w:t>
      </w:r>
      <w:r>
        <w:rPr>
          <w:rFonts w:hint="eastAsia" w:ascii="宋体" w:hAnsi="宋体" w:eastAsia="宋体" w:cs="宋体"/>
          <w:sz w:val="24"/>
          <w:highlight w:val="none"/>
          <w:u w:val="single"/>
          <w:lang w:val="en-US"/>
        </w:rPr>
        <w:t>电梯尺寸</w:t>
      </w:r>
      <w:r>
        <w:rPr>
          <w:rFonts w:hint="eastAsia" w:ascii="宋体" w:hAnsi="宋体" w:eastAsia="宋体" w:cs="宋体"/>
          <w:sz w:val="24"/>
          <w:highlight w:val="none"/>
          <w:lang w:val="en-US"/>
        </w:rPr>
        <w:t>满足</w:t>
      </w:r>
      <w:r>
        <w:rPr>
          <w:rFonts w:hint="eastAsia" w:ascii="宋体" w:hAnsi="宋体" w:eastAsia="宋体"/>
          <w:sz w:val="24"/>
          <w:highlight w:val="none"/>
        </w:rPr>
        <w:t>珠海市中西医结合医院固定资产存放</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电梯承重≥3吨，轿厢尺寸≥2.4m*2.4m</w:t>
      </w:r>
      <w:r>
        <w:rPr>
          <w:rFonts w:hint="eastAsia" w:ascii="宋体" w:hAnsi="宋体" w:eastAsia="宋体"/>
          <w:sz w:val="24"/>
          <w:highlight w:val="none"/>
        </w:rPr>
        <w:t>。</w:t>
      </w:r>
    </w:p>
    <w:p w14:paraId="6CF38B9B">
      <w:pPr>
        <w:pStyle w:val="2"/>
        <w:ind w:firstLine="480"/>
        <w:rPr>
          <w:rFonts w:ascii="宋体" w:hAnsi="宋体" w:eastAsia="宋体"/>
          <w:sz w:val="24"/>
          <w:highlight w:val="yellow"/>
          <w:lang w:val="en-US"/>
        </w:rPr>
      </w:pPr>
      <w:r>
        <w:rPr>
          <w:rFonts w:hint="eastAsia"/>
          <w:sz w:val="24"/>
          <w:highlight w:val="none"/>
          <w:lang w:val="en-US"/>
        </w:rPr>
        <w:t>3、</w:t>
      </w:r>
      <w:r>
        <w:rPr>
          <w:rFonts w:hint="eastAsia" w:ascii="宋体" w:hAnsi="宋体" w:eastAsia="宋体"/>
          <w:sz w:val="24"/>
          <w:highlight w:val="none"/>
          <w:lang w:val="en-US"/>
        </w:rPr>
        <w:t xml:space="preserve">仓库厂区、主要楼道具备24小时实时监控且厂区有专人24小时监管。 </w:t>
      </w:r>
    </w:p>
    <w:p w14:paraId="131AFC2D">
      <w:pPr>
        <w:pStyle w:val="2"/>
        <w:ind w:firstLine="480"/>
        <w:rPr>
          <w:rFonts w:ascii="宋体" w:hAnsi="宋体" w:eastAsia="宋体"/>
          <w:sz w:val="24"/>
          <w:lang w:val="en-US"/>
        </w:rPr>
      </w:pPr>
      <w:r>
        <w:rPr>
          <w:rFonts w:hint="eastAsia"/>
          <w:sz w:val="24"/>
          <w:lang w:val="en-US"/>
        </w:rPr>
        <w:t>4、</w:t>
      </w:r>
      <w:r>
        <w:rPr>
          <w:rFonts w:hint="eastAsia" w:ascii="宋体" w:hAnsi="宋体" w:eastAsia="宋体"/>
          <w:sz w:val="24"/>
          <w:lang w:val="en-US"/>
        </w:rPr>
        <w:t>仓库位置：应位于距离珠海市中西医结合医院</w:t>
      </w:r>
      <w:r>
        <w:rPr>
          <w:rFonts w:hint="eastAsia" w:ascii="宋体" w:hAnsi="宋体" w:eastAsia="宋体"/>
          <w:sz w:val="24"/>
          <w:lang w:val="en-US" w:eastAsia="zh-CN"/>
        </w:rPr>
        <w:t>单程1小时</w:t>
      </w:r>
      <w:r>
        <w:rPr>
          <w:rFonts w:hint="eastAsia" w:ascii="宋体" w:hAnsi="宋体" w:eastAsia="宋体"/>
          <w:sz w:val="24"/>
          <w:lang w:val="en-US"/>
        </w:rPr>
        <w:t>内交通方便地带（与市政一级道路有良好的道路连接仓库），投标人需提供仓库的交通示意图。（以网上查询高德地图或百度地图显示的汽车导航最短路程为标准。</w:t>
      </w:r>
    </w:p>
    <w:p w14:paraId="43441EA3">
      <w:pPr>
        <w:autoSpaceDE w:val="0"/>
        <w:autoSpaceDN w:val="0"/>
        <w:adjustRightInd w:val="0"/>
        <w:spacing w:line="360" w:lineRule="auto"/>
        <w:ind w:firstLine="480" w:firstLineChars="200"/>
        <w:jc w:val="left"/>
        <w:rPr>
          <w:rFonts w:ascii="宋体" w:hAnsi="宋体" w:eastAsia="宋体"/>
          <w:sz w:val="24"/>
          <w:szCs w:val="24"/>
        </w:rPr>
      </w:pPr>
      <w:r>
        <w:rPr>
          <w:rFonts w:hint="eastAsia"/>
          <w:sz w:val="24"/>
          <w:szCs w:val="24"/>
        </w:rPr>
        <w:t>5、</w:t>
      </w:r>
      <w:r>
        <w:rPr>
          <w:rFonts w:hint="eastAsia"/>
          <w:sz w:val="24"/>
          <w:szCs w:val="24"/>
          <w:lang w:val="en-US" w:eastAsia="zh-CN"/>
        </w:rPr>
        <w:t>投标人</w:t>
      </w:r>
      <w:r>
        <w:rPr>
          <w:rFonts w:hint="eastAsia" w:ascii="宋体" w:hAnsi="宋体" w:eastAsia="宋体" w:cs="宋体"/>
          <w:color w:val="000000"/>
          <w:kern w:val="0"/>
          <w:sz w:val="24"/>
          <w:szCs w:val="24"/>
        </w:rPr>
        <w:t>须持有房产证、授权人委托书、受委托人身份证原件或复印件。</w:t>
      </w:r>
      <w:r>
        <w:rPr>
          <w:rFonts w:hint="eastAsia" w:ascii="宋体" w:hAnsi="宋体" w:eastAsia="宋体"/>
          <w:sz w:val="24"/>
          <w:szCs w:val="24"/>
        </w:rPr>
        <w:t>投标人须提供场地使用合法手续证明。（若仓库是自有的，应提供房产证复印件； 若仓库是租赁的，应提供租赁合同（合同有效期必须在投标方租赁期内）及房产证复印件）</w:t>
      </w:r>
    </w:p>
    <w:p w14:paraId="191DF0B4">
      <w:pPr>
        <w:pStyle w:val="2"/>
        <w:ind w:firstLine="480"/>
        <w:rPr>
          <w:rFonts w:ascii="宋体" w:hAnsi="宋体" w:eastAsia="宋体"/>
          <w:sz w:val="24"/>
          <w:lang w:val="en-US"/>
        </w:rPr>
      </w:pPr>
      <w:r>
        <w:rPr>
          <w:rFonts w:hint="eastAsia"/>
          <w:sz w:val="24"/>
          <w:lang w:val="en-US"/>
        </w:rPr>
        <w:t>6、</w:t>
      </w:r>
      <w:r>
        <w:rPr>
          <w:rFonts w:hint="eastAsia" w:ascii="宋体" w:hAnsi="宋体" w:eastAsia="宋体"/>
          <w:sz w:val="24"/>
          <w:lang w:val="en-US"/>
        </w:rPr>
        <w:t>做好仓库的防潮、防鼠、防盗、防火、防自然灾害等工作，保证仓库物品完好。若因中标方造成的损失由中标方按货品清单数量进行赔付。</w:t>
      </w:r>
      <w:bookmarkStart w:id="0" w:name="_GoBack"/>
      <w:bookmarkEnd w:id="0"/>
    </w:p>
    <w:p w14:paraId="4BB1DF2B">
      <w:pPr>
        <w:pStyle w:val="2"/>
        <w:ind w:firstLine="480"/>
        <w:rPr>
          <w:rFonts w:ascii="宋体" w:hAnsi="宋体" w:eastAsia="宋体"/>
          <w:sz w:val="24"/>
          <w:lang w:val="en-US"/>
        </w:rPr>
      </w:pPr>
      <w:r>
        <w:rPr>
          <w:rFonts w:hint="eastAsia"/>
          <w:sz w:val="24"/>
          <w:lang w:val="en-US"/>
        </w:rPr>
        <w:t>7、</w:t>
      </w:r>
      <w:r>
        <w:rPr>
          <w:rFonts w:hint="eastAsia" w:ascii="宋体" w:hAnsi="宋体" w:eastAsia="宋体"/>
          <w:sz w:val="24"/>
          <w:lang w:val="en-US"/>
        </w:rPr>
        <w:t>存放物品从中标人现场清点并开具单据开始，物品的安全交由中标人负责，若因中标方造成的损失由中标方按货品清单数量进行赔付。</w:t>
      </w:r>
    </w:p>
    <w:p w14:paraId="286DAEE7">
      <w:pPr>
        <w:rPr>
          <w:rFonts w:ascii="黑体" w:hAnsi="黑体" w:eastAsia="黑体"/>
          <w:sz w:val="28"/>
          <w:szCs w:val="28"/>
        </w:rPr>
      </w:pPr>
    </w:p>
    <w:p w14:paraId="7710D5D9">
      <w:pPr>
        <w:rPr>
          <w:rFonts w:ascii="黑体" w:hAnsi="黑体" w:eastAsia="黑体"/>
          <w:sz w:val="28"/>
          <w:szCs w:val="28"/>
        </w:rPr>
      </w:pPr>
      <w:r>
        <w:rPr>
          <w:rFonts w:hint="eastAsia" w:ascii="黑体" w:hAnsi="黑体" w:eastAsia="黑体"/>
          <w:sz w:val="28"/>
          <w:szCs w:val="28"/>
        </w:rPr>
        <w:t>附件一：部分资产情况</w:t>
      </w:r>
    </w:p>
    <w:p w14:paraId="439780B9">
      <w:r>
        <w:rPr>
          <w:rFonts w:hint="eastAsia" w:ascii="黑体" w:hAnsi="黑体" w:eastAsia="黑体"/>
          <w:sz w:val="28"/>
          <w:szCs w:val="28"/>
        </w:rPr>
        <w:drawing>
          <wp:inline distT="0" distB="0" distL="114300" distR="114300">
            <wp:extent cx="5230495" cy="2048510"/>
            <wp:effectExtent l="0" t="0" r="8255" b="8890"/>
            <wp:docPr id="13" name="图片 13" descr="9e7c6f3e3bff7b826d154d6cfdcd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e7c6f3e3bff7b826d154d6cfdcde15"/>
                    <pic:cNvPicPr>
                      <a:picLocks noChangeAspect="1"/>
                    </pic:cNvPicPr>
                  </pic:nvPicPr>
                  <pic:blipFill>
                    <a:blip r:embed="rId4"/>
                    <a:stretch>
                      <a:fillRect/>
                    </a:stretch>
                  </pic:blipFill>
                  <pic:spPr>
                    <a:xfrm>
                      <a:off x="0" y="0"/>
                      <a:ext cx="5230495" cy="2048510"/>
                    </a:xfrm>
                    <a:prstGeom prst="rect">
                      <a:avLst/>
                    </a:prstGeom>
                  </pic:spPr>
                </pic:pic>
              </a:graphicData>
            </a:graphic>
          </wp:inline>
        </w:drawing>
      </w:r>
    </w:p>
    <w:p w14:paraId="19F02899">
      <w:r>
        <w:rPr>
          <w:rFonts w:hint="eastAsia" w:eastAsia="宋体"/>
        </w:rPr>
        <w:drawing>
          <wp:inline distT="0" distB="0" distL="114300" distR="114300">
            <wp:extent cx="5230495" cy="1901825"/>
            <wp:effectExtent l="0" t="0" r="8255" b="3175"/>
            <wp:docPr id="14" name="图片 14" descr="69c3b64b106948ba9442a73cabed4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69c3b64b106948ba9442a73cabed4be"/>
                    <pic:cNvPicPr>
                      <a:picLocks noChangeAspect="1"/>
                    </pic:cNvPicPr>
                  </pic:nvPicPr>
                  <pic:blipFill>
                    <a:blip r:embed="rId5"/>
                    <a:stretch>
                      <a:fillRect/>
                    </a:stretch>
                  </pic:blipFill>
                  <pic:spPr>
                    <a:xfrm>
                      <a:off x="0" y="0"/>
                      <a:ext cx="5230495" cy="1901825"/>
                    </a:xfrm>
                    <a:prstGeom prst="rect">
                      <a:avLst/>
                    </a:prstGeom>
                  </pic:spPr>
                </pic:pic>
              </a:graphicData>
            </a:graphic>
          </wp:inline>
        </w:drawing>
      </w:r>
    </w:p>
    <w:p w14:paraId="5BF77394">
      <w:pPr>
        <w:rPr>
          <w:rFonts w:eastAsia="宋体"/>
        </w:rPr>
      </w:pPr>
      <w:r>
        <w:rPr>
          <w:rFonts w:hint="eastAsia" w:eastAsia="宋体"/>
        </w:rPr>
        <w:drawing>
          <wp:inline distT="0" distB="0" distL="114300" distR="114300">
            <wp:extent cx="5230495" cy="1924050"/>
            <wp:effectExtent l="0" t="0" r="8255" b="0"/>
            <wp:docPr id="15" name="图片 15" descr="1276ffb8c8e867a949dcc03cfd89b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276ffb8c8e867a949dcc03cfd89b3d"/>
                    <pic:cNvPicPr>
                      <a:picLocks noChangeAspect="1"/>
                    </pic:cNvPicPr>
                  </pic:nvPicPr>
                  <pic:blipFill>
                    <a:blip r:embed="rId6"/>
                    <a:stretch>
                      <a:fillRect/>
                    </a:stretch>
                  </pic:blipFill>
                  <pic:spPr>
                    <a:xfrm>
                      <a:off x="0" y="0"/>
                      <a:ext cx="5230495" cy="1924050"/>
                    </a:xfrm>
                    <a:prstGeom prst="rect">
                      <a:avLst/>
                    </a:prstGeom>
                  </pic:spPr>
                </pic:pic>
              </a:graphicData>
            </a:graphic>
          </wp:inline>
        </w:drawing>
      </w:r>
    </w:p>
    <w:p w14:paraId="1B8D6D4D">
      <w:pPr>
        <w:pStyle w:val="2"/>
        <w:spacing w:line="240" w:lineRule="auto"/>
        <w:ind w:firstLine="0" w:firstLineChars="0"/>
        <w:rPr>
          <w:rFonts w:eastAsia="宋体"/>
        </w:rPr>
      </w:pPr>
      <w:r>
        <w:rPr>
          <w:rFonts w:hint="eastAsia" w:eastAsia="宋体"/>
          <w:lang w:val="en-US"/>
        </w:rPr>
        <w:drawing>
          <wp:inline distT="0" distB="0" distL="114300" distR="114300">
            <wp:extent cx="5230495" cy="2171700"/>
            <wp:effectExtent l="0" t="0" r="8255" b="0"/>
            <wp:docPr id="18" name="图片 18" descr="5178b8ba345f6e7c117a983cda4f1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5178b8ba345f6e7c117a983cda4f1fa"/>
                    <pic:cNvPicPr>
                      <a:picLocks noChangeAspect="1"/>
                    </pic:cNvPicPr>
                  </pic:nvPicPr>
                  <pic:blipFill>
                    <a:blip r:embed="rId7"/>
                    <a:stretch>
                      <a:fillRect/>
                    </a:stretch>
                  </pic:blipFill>
                  <pic:spPr>
                    <a:xfrm>
                      <a:off x="0" y="0"/>
                      <a:ext cx="5230495" cy="2171700"/>
                    </a:xfrm>
                    <a:prstGeom prst="rect">
                      <a:avLst/>
                    </a:prstGeom>
                  </pic:spPr>
                </pic:pic>
              </a:graphicData>
            </a:graphic>
          </wp:inline>
        </w:drawing>
      </w:r>
    </w:p>
    <w:tbl>
      <w:tblPr>
        <w:tblStyle w:val="8"/>
        <w:tblW w:w="4561" w:type="dxa"/>
        <w:tblInd w:w="93" w:type="dxa"/>
        <w:tblLayout w:type="autofit"/>
        <w:tblCellMar>
          <w:top w:w="0" w:type="dxa"/>
          <w:left w:w="108" w:type="dxa"/>
          <w:bottom w:w="0" w:type="dxa"/>
          <w:right w:w="108" w:type="dxa"/>
        </w:tblCellMar>
      </w:tblPr>
      <w:tblGrid>
        <w:gridCol w:w="6006"/>
      </w:tblGrid>
      <w:tr w14:paraId="157A230E">
        <w:tblPrEx>
          <w:tblCellMar>
            <w:top w:w="0" w:type="dxa"/>
            <w:left w:w="108" w:type="dxa"/>
            <w:bottom w:w="0" w:type="dxa"/>
            <w:right w:w="108" w:type="dxa"/>
          </w:tblCellMar>
        </w:tblPrEx>
        <w:trPr>
          <w:trHeight w:val="3360" w:hRule="atLeast"/>
        </w:trPr>
        <w:tc>
          <w:tcPr>
            <w:tcW w:w="4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BB8E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drawing>
                <wp:inline distT="0" distB="0" distL="114300" distR="114300">
                  <wp:extent cx="3380105" cy="2479675"/>
                  <wp:effectExtent l="0" t="0" r="10795" b="1587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8"/>
                          <a:stretch>
                            <a:fillRect/>
                          </a:stretch>
                        </pic:blipFill>
                        <pic:spPr>
                          <a:xfrm>
                            <a:off x="0" y="0"/>
                            <a:ext cx="3380105" cy="2479675"/>
                          </a:xfrm>
                          <a:prstGeom prst="rect">
                            <a:avLst/>
                          </a:prstGeom>
                          <a:noFill/>
                          <a:ln w="9525">
                            <a:noFill/>
                          </a:ln>
                        </pic:spPr>
                      </pic:pic>
                    </a:graphicData>
                  </a:graphic>
                </wp:inline>
              </w:drawing>
            </w:r>
          </w:p>
        </w:tc>
      </w:tr>
      <w:tr w14:paraId="76C97B95">
        <w:tblPrEx>
          <w:tblCellMar>
            <w:top w:w="0" w:type="dxa"/>
            <w:left w:w="108" w:type="dxa"/>
            <w:bottom w:w="0" w:type="dxa"/>
            <w:right w:w="108" w:type="dxa"/>
          </w:tblCellMar>
        </w:tblPrEx>
        <w:trPr>
          <w:trHeight w:val="3360" w:hRule="atLeast"/>
        </w:trPr>
        <w:tc>
          <w:tcPr>
            <w:tcW w:w="4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8ABC7">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drawing>
                <wp:inline distT="0" distB="0" distL="114300" distR="114300">
                  <wp:extent cx="3676650" cy="1571625"/>
                  <wp:effectExtent l="0" t="0" r="0" b="9525"/>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9"/>
                          <a:stretch>
                            <a:fillRect/>
                          </a:stretch>
                        </pic:blipFill>
                        <pic:spPr>
                          <a:xfrm>
                            <a:off x="0" y="0"/>
                            <a:ext cx="3676650" cy="1571625"/>
                          </a:xfrm>
                          <a:prstGeom prst="rect">
                            <a:avLst/>
                          </a:prstGeom>
                          <a:noFill/>
                          <a:ln w="9525">
                            <a:noFill/>
                          </a:ln>
                        </pic:spPr>
                      </pic:pic>
                    </a:graphicData>
                  </a:graphic>
                </wp:inline>
              </w:drawing>
            </w:r>
          </w:p>
        </w:tc>
      </w:tr>
      <w:tr w14:paraId="124FEE6C">
        <w:tblPrEx>
          <w:tblCellMar>
            <w:top w:w="0" w:type="dxa"/>
            <w:left w:w="108" w:type="dxa"/>
            <w:bottom w:w="0" w:type="dxa"/>
            <w:right w:w="108" w:type="dxa"/>
          </w:tblCellMar>
        </w:tblPrEx>
        <w:trPr>
          <w:trHeight w:val="4015" w:hRule="atLeast"/>
        </w:trPr>
        <w:tc>
          <w:tcPr>
            <w:tcW w:w="4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4729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drawing>
                <wp:inline distT="0" distB="0" distL="114300" distR="114300">
                  <wp:extent cx="2895600" cy="2171700"/>
                  <wp:effectExtent l="0" t="0" r="0" b="0"/>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10"/>
                          <a:stretch>
                            <a:fillRect/>
                          </a:stretch>
                        </pic:blipFill>
                        <pic:spPr>
                          <a:xfrm>
                            <a:off x="0" y="0"/>
                            <a:ext cx="2895600" cy="2171700"/>
                          </a:xfrm>
                          <a:prstGeom prst="rect">
                            <a:avLst/>
                          </a:prstGeom>
                          <a:noFill/>
                          <a:ln w="9525">
                            <a:noFill/>
                          </a:ln>
                        </pic:spPr>
                      </pic:pic>
                    </a:graphicData>
                  </a:graphic>
                </wp:inline>
              </w:drawing>
            </w:r>
          </w:p>
        </w:tc>
      </w:tr>
    </w:tbl>
    <w:p w14:paraId="471A4571">
      <w:pPr>
        <w:pStyle w:val="2"/>
        <w:spacing w:line="240" w:lineRule="auto"/>
        <w:ind w:firstLine="0" w:firstLineChars="0"/>
        <w:rPr>
          <w:rFonts w:eastAsia="宋体"/>
          <w:lang w:val="en-US"/>
        </w:rPr>
      </w:pPr>
      <w:r>
        <w:rPr>
          <w:rFonts w:eastAsia="宋体"/>
          <w:lang w:val="en-US"/>
        </w:rPr>
        <w:t>尺寸：3.6*1*1m</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98DCAA"/>
    <w:multiLevelType w:val="singleLevel"/>
    <w:tmpl w:val="9198DCAA"/>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GQ2YmVjNGJlMWEyYjI0ZTUwODhmNDdjN2MzZDNlYTAifQ=="/>
  </w:docVars>
  <w:rsids>
    <w:rsidRoot w:val="00CF1457"/>
    <w:rsid w:val="00030732"/>
    <w:rsid w:val="00042513"/>
    <w:rsid w:val="00075292"/>
    <w:rsid w:val="000774E2"/>
    <w:rsid w:val="00095F4F"/>
    <w:rsid w:val="000D3A43"/>
    <w:rsid w:val="000D5C8B"/>
    <w:rsid w:val="00127C06"/>
    <w:rsid w:val="002652C9"/>
    <w:rsid w:val="0028420F"/>
    <w:rsid w:val="00294069"/>
    <w:rsid w:val="002A1D5A"/>
    <w:rsid w:val="002C3FAA"/>
    <w:rsid w:val="002C4F3C"/>
    <w:rsid w:val="00344032"/>
    <w:rsid w:val="003A5708"/>
    <w:rsid w:val="00407422"/>
    <w:rsid w:val="0045668C"/>
    <w:rsid w:val="00473AFA"/>
    <w:rsid w:val="004F5EEC"/>
    <w:rsid w:val="00515966"/>
    <w:rsid w:val="005B18BB"/>
    <w:rsid w:val="005E03EE"/>
    <w:rsid w:val="005E6F4D"/>
    <w:rsid w:val="00604204"/>
    <w:rsid w:val="006F5D5D"/>
    <w:rsid w:val="007001ED"/>
    <w:rsid w:val="00747A7F"/>
    <w:rsid w:val="00771473"/>
    <w:rsid w:val="00776128"/>
    <w:rsid w:val="007C2A9E"/>
    <w:rsid w:val="007D742A"/>
    <w:rsid w:val="007F0EE9"/>
    <w:rsid w:val="007F5663"/>
    <w:rsid w:val="00812F16"/>
    <w:rsid w:val="0083513C"/>
    <w:rsid w:val="008F0050"/>
    <w:rsid w:val="008F2A9C"/>
    <w:rsid w:val="009208B4"/>
    <w:rsid w:val="00953216"/>
    <w:rsid w:val="009600F7"/>
    <w:rsid w:val="009669A8"/>
    <w:rsid w:val="00977589"/>
    <w:rsid w:val="0099381B"/>
    <w:rsid w:val="009B1266"/>
    <w:rsid w:val="009B60DE"/>
    <w:rsid w:val="009F2ADD"/>
    <w:rsid w:val="009F6C9D"/>
    <w:rsid w:val="00A131D8"/>
    <w:rsid w:val="00A4295A"/>
    <w:rsid w:val="00A46033"/>
    <w:rsid w:val="00A96757"/>
    <w:rsid w:val="00AE7222"/>
    <w:rsid w:val="00B01AB2"/>
    <w:rsid w:val="00B04E40"/>
    <w:rsid w:val="00B21158"/>
    <w:rsid w:val="00B9608D"/>
    <w:rsid w:val="00BA71E0"/>
    <w:rsid w:val="00C06D86"/>
    <w:rsid w:val="00C23C27"/>
    <w:rsid w:val="00C25288"/>
    <w:rsid w:val="00C56BC5"/>
    <w:rsid w:val="00C6601E"/>
    <w:rsid w:val="00C948E6"/>
    <w:rsid w:val="00CF1457"/>
    <w:rsid w:val="00D57B02"/>
    <w:rsid w:val="00E4104D"/>
    <w:rsid w:val="00E508D7"/>
    <w:rsid w:val="00E81286"/>
    <w:rsid w:val="00EE05BD"/>
    <w:rsid w:val="00F45386"/>
    <w:rsid w:val="00F569FD"/>
    <w:rsid w:val="00FC0DD8"/>
    <w:rsid w:val="00FC33ED"/>
    <w:rsid w:val="01BA2DA4"/>
    <w:rsid w:val="04325753"/>
    <w:rsid w:val="05283431"/>
    <w:rsid w:val="05607C8C"/>
    <w:rsid w:val="0588337D"/>
    <w:rsid w:val="061F3696"/>
    <w:rsid w:val="066A50B6"/>
    <w:rsid w:val="06A0760F"/>
    <w:rsid w:val="06CC2996"/>
    <w:rsid w:val="09646A15"/>
    <w:rsid w:val="0B25460A"/>
    <w:rsid w:val="0DE92374"/>
    <w:rsid w:val="0EA31D7A"/>
    <w:rsid w:val="0F8F06E3"/>
    <w:rsid w:val="109D1E38"/>
    <w:rsid w:val="125B0C25"/>
    <w:rsid w:val="1539699E"/>
    <w:rsid w:val="156D37A6"/>
    <w:rsid w:val="18270D2F"/>
    <w:rsid w:val="196007BC"/>
    <w:rsid w:val="1A805A51"/>
    <w:rsid w:val="1CB515F6"/>
    <w:rsid w:val="1D16049B"/>
    <w:rsid w:val="245E23DE"/>
    <w:rsid w:val="24D53036"/>
    <w:rsid w:val="24EE37B4"/>
    <w:rsid w:val="26FE5336"/>
    <w:rsid w:val="29AF3462"/>
    <w:rsid w:val="31420018"/>
    <w:rsid w:val="31D12553"/>
    <w:rsid w:val="31E22D3C"/>
    <w:rsid w:val="335A5AB0"/>
    <w:rsid w:val="38C30665"/>
    <w:rsid w:val="38EB0322"/>
    <w:rsid w:val="3EEC149C"/>
    <w:rsid w:val="3F2630BC"/>
    <w:rsid w:val="41CF5BD3"/>
    <w:rsid w:val="4273660C"/>
    <w:rsid w:val="43D70981"/>
    <w:rsid w:val="486A7109"/>
    <w:rsid w:val="4B550AF0"/>
    <w:rsid w:val="4BF919CF"/>
    <w:rsid w:val="4FAC49B1"/>
    <w:rsid w:val="530E3B1A"/>
    <w:rsid w:val="53501A14"/>
    <w:rsid w:val="54EB1190"/>
    <w:rsid w:val="558E6F90"/>
    <w:rsid w:val="55A013D9"/>
    <w:rsid w:val="563F5E3E"/>
    <w:rsid w:val="578C3305"/>
    <w:rsid w:val="590E6D8B"/>
    <w:rsid w:val="59BF51B4"/>
    <w:rsid w:val="627A7D1F"/>
    <w:rsid w:val="68CE70CF"/>
    <w:rsid w:val="68DC3034"/>
    <w:rsid w:val="6B8F7191"/>
    <w:rsid w:val="6C5A1ABD"/>
    <w:rsid w:val="6CC76E0C"/>
    <w:rsid w:val="72841F30"/>
    <w:rsid w:val="735073B5"/>
    <w:rsid w:val="73CC49CE"/>
    <w:rsid w:val="744A1DE4"/>
    <w:rsid w:val="758414A8"/>
    <w:rsid w:val="78FF6405"/>
    <w:rsid w:val="7C75137E"/>
    <w:rsid w:val="7E79123A"/>
    <w:rsid w:val="7F9A32D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line="500" w:lineRule="exact"/>
      <w:ind w:firstLine="200" w:firstLineChars="200"/>
    </w:pPr>
    <w:rPr>
      <w:rFonts w:ascii="Times New Roman" w:hAnsi="Times New Roman"/>
      <w:kern w:val="0"/>
      <w:sz w:val="28"/>
      <w:szCs w:val="24"/>
      <w:lang w:val="zh-CN"/>
    </w:rPr>
  </w:style>
  <w:style w:type="paragraph" w:styleId="3">
    <w:name w:val="Body Text Indent"/>
    <w:basedOn w:val="1"/>
    <w:link w:val="11"/>
    <w:qFormat/>
    <w:uiPriority w:val="0"/>
    <w:pPr>
      <w:spacing w:line="360" w:lineRule="auto"/>
      <w:ind w:left="716" w:leftChars="341" w:firstLine="2"/>
    </w:pPr>
    <w:rPr>
      <w:rFonts w:ascii="宋体" w:hAnsi="宋体" w:eastAsia="宋体" w:cs="Times New Roman"/>
      <w:bCs/>
      <w:szCs w:val="24"/>
    </w:rPr>
  </w:style>
  <w:style w:type="paragraph" w:styleId="4">
    <w:name w:val="Balloon Text"/>
    <w:basedOn w:val="1"/>
    <w:link w:val="14"/>
    <w:semiHidden/>
    <w:unhideWhenUsed/>
    <w:uiPriority w:val="99"/>
    <w:rPr>
      <w:sz w:val="18"/>
      <w:szCs w:val="18"/>
    </w:rPr>
  </w:style>
  <w:style w:type="paragraph" w:styleId="5">
    <w:name w:val="footer"/>
    <w:basedOn w:val="1"/>
    <w:link w:val="13"/>
    <w:semiHidden/>
    <w:unhideWhenUsed/>
    <w:qFormat/>
    <w:uiPriority w:val="99"/>
    <w:pPr>
      <w:tabs>
        <w:tab w:val="center" w:pos="4153"/>
        <w:tab w:val="right" w:pos="8306"/>
      </w:tabs>
      <w:snapToGrid w:val="0"/>
      <w:jc w:val="left"/>
    </w:pPr>
    <w:rPr>
      <w:sz w:val="18"/>
      <w:szCs w:val="18"/>
    </w:rPr>
  </w:style>
  <w:style w:type="paragraph" w:styleId="6">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正文文本缩进 Char"/>
    <w:basedOn w:val="10"/>
    <w:link w:val="3"/>
    <w:qFormat/>
    <w:uiPriority w:val="0"/>
    <w:rPr>
      <w:rFonts w:ascii="宋体" w:hAnsi="宋体" w:eastAsia="宋体" w:cs="Times New Roman"/>
      <w:bCs/>
      <w:szCs w:val="24"/>
    </w:rPr>
  </w:style>
  <w:style w:type="character" w:customStyle="1" w:styleId="12">
    <w:name w:val="页眉 Char"/>
    <w:basedOn w:val="10"/>
    <w:link w:val="6"/>
    <w:semiHidden/>
    <w:qFormat/>
    <w:uiPriority w:val="99"/>
    <w:rPr>
      <w:sz w:val="18"/>
      <w:szCs w:val="18"/>
    </w:rPr>
  </w:style>
  <w:style w:type="character" w:customStyle="1" w:styleId="13">
    <w:name w:val="页脚 Char"/>
    <w:basedOn w:val="10"/>
    <w:link w:val="5"/>
    <w:semiHidden/>
    <w:qFormat/>
    <w:uiPriority w:val="99"/>
    <w:rPr>
      <w:sz w:val="18"/>
      <w:szCs w:val="18"/>
    </w:rPr>
  </w:style>
  <w:style w:type="character" w:customStyle="1" w:styleId="14">
    <w:name w:val="批注框文本 Char"/>
    <w:basedOn w:val="10"/>
    <w:link w:val="4"/>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1479</Words>
  <Characters>1582</Characters>
  <Lines>4</Lines>
  <Paragraphs>1</Paragraphs>
  <TotalTime>0</TotalTime>
  <ScaleCrop>false</ScaleCrop>
  <LinksUpToDate>false</LinksUpToDate>
  <CharactersWithSpaces>1586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2025-07-17T00:32:00Z</dcterms:created>
  <dc:creator>Administrator</dc:creator>
  <cp:lastModifiedBy>郑</cp:lastModifiedBy>
  <cp:lastPrinted>2023-11-14T06:38:00Z</cp:lastPrinted>
  <dcterms:modified xsi:type="dcterms:W3CDTF">2026-07-06T01:55:29Z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8B89C63DC128488DB758C64435DC19D3</vt:lpwstr>
  </property>
  <property fmtid="{D5CDD505-2E9C-101B-9397-08002B2CF9AE}" pid="4" name="KSOTemplateDocerSaveRecord">
    <vt:lpwstr>eyJoZGlkIjoiMTU1YzFmNjdiZWEzMTQ4NzIzZjRiMGI1MWRiNTg2MmMiLCJ1c2VySWQiOiIzODgxMzUyNjIifQ==</vt:lpwstr>
  </property>
</Properties>
</file>