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602A5412">
      <w:pPr>
        <w:ind w:left="298" w:hanging="298" w:hangingChars="99"/>
        <w:jc w:val="center"/>
        <w:rPr>
          <w:rFonts w:ascii="宋体" w:hAnsi="宋体"/>
          <w:b/>
          <w:bCs/>
          <w:color w:val="auto"/>
          <w:sz w:val="30"/>
          <w:szCs w:val="30"/>
          <w:highlight w:val="none"/>
        </w:rPr>
      </w:pPr>
      <w:r>
        <w:rPr>
          <w:rFonts w:hint="eastAsia" w:ascii="宋体" w:hAnsi="宋体"/>
          <w:b/>
          <w:bCs/>
          <w:color w:val="auto"/>
          <w:sz w:val="30"/>
          <w:szCs w:val="30"/>
          <w:highlight w:val="none"/>
          <w:lang w:val="en-US" w:eastAsia="zh-CN"/>
        </w:rPr>
        <w:t>珠海市中西医结合医院</w:t>
      </w:r>
      <w:r>
        <w:rPr>
          <w:rFonts w:hint="eastAsia" w:ascii="宋体" w:hAnsi="宋体"/>
          <w:b/>
          <w:bCs/>
          <w:color w:val="auto"/>
          <w:sz w:val="30"/>
          <w:szCs w:val="30"/>
          <w:highlight w:val="none"/>
        </w:rPr>
        <w:t>器械清洗消毒委托第三方机构</w:t>
      </w:r>
      <w:r>
        <w:rPr>
          <w:rFonts w:hint="eastAsia" w:ascii="宋体" w:hAnsi="宋体"/>
          <w:b/>
          <w:bCs/>
          <w:color w:val="auto"/>
          <w:sz w:val="30"/>
          <w:szCs w:val="30"/>
          <w:highlight w:val="none"/>
          <w:lang w:val="en-US" w:eastAsia="zh-CN"/>
        </w:rPr>
        <w:t>服务</w:t>
      </w:r>
      <w:r>
        <w:rPr>
          <w:rFonts w:hint="eastAsia" w:ascii="宋体" w:hAnsi="宋体"/>
          <w:b/>
          <w:bCs/>
          <w:color w:val="auto"/>
          <w:sz w:val="30"/>
          <w:szCs w:val="30"/>
          <w:highlight w:val="none"/>
        </w:rPr>
        <w:t>采购项目用户需求书</w:t>
      </w:r>
    </w:p>
    <w:p w14:paraId="27936E45">
      <w:pPr>
        <w:numPr>
          <w:ilvl w:val="0"/>
          <w:numId w:val="0"/>
        </w:numPr>
        <w:rPr>
          <w:rFonts w:hint="eastAsia" w:ascii="宋体" w:hAnsi="宋体" w:eastAsia="宋体" w:cs="宋体"/>
          <w:bCs/>
          <w:color w:val="auto"/>
          <w:kern w:val="2"/>
          <w:sz w:val="21"/>
          <w:szCs w:val="21"/>
          <w:highlight w:val="none"/>
        </w:rPr>
      </w:pPr>
      <w:bookmarkStart w:id="0" w:name="_Toc51573445"/>
      <w:bookmarkStart w:id="1" w:name="_Toc536523230"/>
      <w:bookmarkStart w:id="2" w:name="_Toc534795256"/>
      <w:r>
        <w:rPr>
          <w:rFonts w:hint="eastAsia" w:hAnsi="宋体" w:cs="宋体"/>
          <w:b/>
          <w:bCs/>
          <w:color w:val="auto"/>
          <w:sz w:val="21"/>
          <w:szCs w:val="21"/>
          <w:highlight w:val="none"/>
          <w:lang w:eastAsia="zh-CN"/>
        </w:rPr>
        <w:t>（</w:t>
      </w:r>
      <w:r>
        <w:rPr>
          <w:rFonts w:hint="eastAsia" w:hAnsi="宋体" w:cs="宋体"/>
          <w:b/>
          <w:bCs/>
          <w:color w:val="auto"/>
          <w:sz w:val="21"/>
          <w:szCs w:val="21"/>
          <w:highlight w:val="none"/>
          <w:lang w:val="en-US" w:eastAsia="zh-CN"/>
        </w:rPr>
        <w:t>一</w:t>
      </w:r>
      <w:r>
        <w:rPr>
          <w:rFonts w:hint="eastAsia" w:hAnsi="宋体" w:cs="宋体"/>
          <w:b/>
          <w:bCs/>
          <w:color w:val="auto"/>
          <w:sz w:val="21"/>
          <w:szCs w:val="21"/>
          <w:highlight w:val="none"/>
          <w:lang w:eastAsia="zh-CN"/>
        </w:rPr>
        <w:t>）</w:t>
      </w:r>
      <w:r>
        <w:rPr>
          <w:rFonts w:hint="eastAsia" w:ascii="宋体" w:hAnsi="宋体" w:eastAsia="宋体" w:cs="宋体"/>
          <w:b/>
          <w:bCs/>
          <w:color w:val="auto"/>
          <w:sz w:val="21"/>
          <w:szCs w:val="21"/>
          <w:highlight w:val="none"/>
        </w:rPr>
        <w:t>项目概况</w:t>
      </w:r>
      <w:bookmarkEnd w:id="0"/>
      <w:bookmarkEnd w:id="1"/>
      <w:bookmarkEnd w:id="2"/>
    </w:p>
    <w:p w14:paraId="6ABC9ABE">
      <w:pPr>
        <w:keepNext w:val="0"/>
        <w:keepLines w:val="0"/>
        <w:pageBreakBefore w:val="0"/>
        <w:widowControl w:val="0"/>
        <w:kinsoku/>
        <w:wordWrap/>
        <w:overflowPunct/>
        <w:topLinePunct w:val="0"/>
        <w:autoSpaceDE/>
        <w:autoSpaceDN/>
        <w:bidi w:val="0"/>
        <w:adjustRightInd/>
        <w:snapToGrid/>
        <w:spacing w:line="360" w:lineRule="auto"/>
        <w:ind w:firstLine="420" w:firstLineChars="200"/>
        <w:textAlignment w:val="auto"/>
        <w:rPr>
          <w:rFonts w:hint="eastAsia" w:ascii="宋体" w:hAnsi="宋体" w:eastAsia="宋体" w:cs="宋体"/>
          <w:bCs/>
          <w:color w:val="auto"/>
          <w:kern w:val="2"/>
          <w:sz w:val="21"/>
          <w:szCs w:val="21"/>
          <w:highlight w:val="none"/>
        </w:rPr>
      </w:pPr>
      <w:r>
        <w:rPr>
          <w:rFonts w:hint="eastAsia" w:ascii="宋体" w:hAnsi="宋体" w:eastAsia="宋体" w:cs="宋体"/>
          <w:bCs/>
          <w:color w:val="auto"/>
          <w:kern w:val="2"/>
          <w:sz w:val="21"/>
          <w:szCs w:val="21"/>
          <w:highlight w:val="none"/>
        </w:rPr>
        <w:t>1、项目名称：珠海市中西医结合医院器械清洗消毒委托第三方机构服务采购项目。</w:t>
      </w:r>
    </w:p>
    <w:p w14:paraId="24E870F4">
      <w:pPr>
        <w:keepNext w:val="0"/>
        <w:keepLines w:val="0"/>
        <w:pageBreakBefore w:val="0"/>
        <w:widowControl w:val="0"/>
        <w:kinsoku/>
        <w:wordWrap/>
        <w:overflowPunct/>
        <w:topLinePunct w:val="0"/>
        <w:autoSpaceDE/>
        <w:autoSpaceDN/>
        <w:bidi w:val="0"/>
        <w:adjustRightInd/>
        <w:snapToGrid/>
        <w:spacing w:line="360" w:lineRule="auto"/>
        <w:ind w:firstLine="420" w:firstLineChars="200"/>
        <w:textAlignment w:val="auto"/>
        <w:rPr>
          <w:rFonts w:hint="eastAsia" w:ascii="宋体" w:hAnsi="宋体" w:eastAsia="宋体" w:cs="宋体"/>
          <w:bCs/>
          <w:color w:val="auto"/>
          <w:kern w:val="2"/>
          <w:sz w:val="21"/>
          <w:szCs w:val="21"/>
          <w:highlight w:val="none"/>
        </w:rPr>
      </w:pPr>
      <w:r>
        <w:rPr>
          <w:rFonts w:hint="eastAsia" w:ascii="宋体" w:hAnsi="宋体" w:eastAsia="宋体" w:cs="宋体"/>
          <w:bCs/>
          <w:color w:val="auto"/>
          <w:kern w:val="2"/>
          <w:sz w:val="21"/>
          <w:szCs w:val="21"/>
          <w:highlight w:val="none"/>
        </w:rPr>
        <w:t>2、服务范围：珠海市中西医结合医院。</w:t>
      </w:r>
    </w:p>
    <w:p w14:paraId="13BC02E7">
      <w:pPr>
        <w:keepNext w:val="0"/>
        <w:keepLines w:val="0"/>
        <w:pageBreakBefore w:val="0"/>
        <w:widowControl w:val="0"/>
        <w:kinsoku/>
        <w:wordWrap/>
        <w:overflowPunct/>
        <w:topLinePunct w:val="0"/>
        <w:autoSpaceDE/>
        <w:autoSpaceDN/>
        <w:bidi w:val="0"/>
        <w:adjustRightInd/>
        <w:snapToGrid/>
        <w:spacing w:line="360" w:lineRule="auto"/>
        <w:ind w:firstLine="420" w:firstLineChars="200"/>
        <w:textAlignment w:val="auto"/>
        <w:rPr>
          <w:rFonts w:hint="eastAsia" w:ascii="宋体" w:hAnsi="宋体" w:eastAsia="宋体" w:cs="宋体"/>
          <w:bCs/>
          <w:color w:val="auto"/>
          <w:kern w:val="2"/>
          <w:sz w:val="21"/>
          <w:szCs w:val="21"/>
          <w:highlight w:val="none"/>
        </w:rPr>
      </w:pPr>
      <w:r>
        <w:rPr>
          <w:rFonts w:hint="eastAsia" w:ascii="宋体" w:hAnsi="宋体" w:eastAsia="宋体" w:cs="宋体"/>
          <w:bCs/>
          <w:color w:val="auto"/>
          <w:kern w:val="2"/>
          <w:sz w:val="21"/>
          <w:szCs w:val="21"/>
          <w:highlight w:val="none"/>
        </w:rPr>
        <w:t>3、预算金额：</w:t>
      </w:r>
      <w:r>
        <w:rPr>
          <w:rFonts w:hint="eastAsia" w:hAnsi="宋体" w:cs="宋体"/>
          <w:bCs/>
          <w:color w:val="auto"/>
          <w:sz w:val="21"/>
          <w:szCs w:val="21"/>
          <w:highlight w:val="none"/>
          <w:lang w:val="en-US" w:eastAsia="zh-CN"/>
        </w:rPr>
        <w:t>第一年400万元；第二年400万元；总计800万元</w:t>
      </w:r>
    </w:p>
    <w:p w14:paraId="48C6E7D6">
      <w:pPr>
        <w:keepNext w:val="0"/>
        <w:keepLines w:val="0"/>
        <w:pageBreakBefore w:val="0"/>
        <w:widowControl w:val="0"/>
        <w:kinsoku/>
        <w:wordWrap/>
        <w:overflowPunct/>
        <w:topLinePunct w:val="0"/>
        <w:autoSpaceDE/>
        <w:autoSpaceDN/>
        <w:bidi w:val="0"/>
        <w:adjustRightInd/>
        <w:snapToGrid/>
        <w:spacing w:line="360" w:lineRule="auto"/>
        <w:ind w:firstLine="420" w:firstLineChars="200"/>
        <w:textAlignment w:val="auto"/>
        <w:rPr>
          <w:rFonts w:hint="eastAsia" w:ascii="宋体" w:hAnsi="宋体" w:eastAsia="宋体" w:cs="宋体"/>
          <w:bCs/>
          <w:color w:val="auto"/>
          <w:kern w:val="2"/>
          <w:sz w:val="21"/>
          <w:szCs w:val="21"/>
          <w:highlight w:val="none"/>
        </w:rPr>
      </w:pPr>
      <w:r>
        <w:rPr>
          <w:rFonts w:hint="eastAsia" w:ascii="宋体" w:hAnsi="宋体" w:eastAsia="宋体" w:cs="宋体"/>
          <w:bCs/>
          <w:color w:val="auto"/>
          <w:kern w:val="2"/>
          <w:sz w:val="21"/>
          <w:szCs w:val="21"/>
          <w:highlight w:val="none"/>
        </w:rPr>
        <w:t>4、服务期限：</w:t>
      </w:r>
      <w:r>
        <w:rPr>
          <w:rFonts w:hint="eastAsia" w:ascii="宋体" w:hAnsi="宋体" w:eastAsia="宋体" w:cs="宋体"/>
          <w:b w:val="0"/>
          <w:bCs/>
          <w:color w:val="auto"/>
          <w:kern w:val="2"/>
          <w:sz w:val="21"/>
          <w:szCs w:val="21"/>
          <w:highlight w:val="none"/>
          <w:lang w:val="en-US" w:eastAsia="zh-CN"/>
        </w:rPr>
        <w:t>自合同签订之日起2年，</w:t>
      </w:r>
      <w:r>
        <w:rPr>
          <w:rFonts w:hint="eastAsia" w:ascii="宋体" w:hAnsi="宋体" w:eastAsia="宋体" w:cs="宋体"/>
          <w:b w:val="0"/>
          <w:bCs/>
          <w:color w:val="auto"/>
          <w:kern w:val="2"/>
          <w:sz w:val="21"/>
          <w:szCs w:val="21"/>
          <w:highlight w:val="none"/>
        </w:rPr>
        <w:t>采用1+1模式</w:t>
      </w:r>
      <w:r>
        <w:rPr>
          <w:rFonts w:hint="eastAsia" w:ascii="宋体" w:hAnsi="宋体" w:eastAsia="宋体" w:cs="宋体"/>
          <w:bCs/>
          <w:i w:val="0"/>
          <w:iCs w:val="0"/>
          <w:caps w:val="0"/>
          <w:color w:val="auto"/>
          <w:spacing w:val="0"/>
          <w:kern w:val="2"/>
          <w:sz w:val="21"/>
          <w:szCs w:val="21"/>
          <w:highlight w:val="none"/>
          <w:shd w:val="clear" w:color="auto" w:fill="auto"/>
        </w:rPr>
        <w:t>或预算用完（以先到者为准）</w:t>
      </w:r>
      <w:r>
        <w:rPr>
          <w:rFonts w:hint="eastAsia" w:ascii="宋体" w:hAnsi="宋体" w:eastAsia="宋体" w:cs="宋体"/>
          <w:bCs/>
          <w:color w:val="auto"/>
          <w:kern w:val="2"/>
          <w:sz w:val="21"/>
          <w:szCs w:val="21"/>
          <w:highlight w:val="none"/>
        </w:rPr>
        <w:t>。采购人每个季度开展服务</w:t>
      </w:r>
      <w:r>
        <w:rPr>
          <w:rFonts w:hint="eastAsia" w:ascii="宋体" w:hAnsi="宋体" w:eastAsia="宋体" w:cs="宋体"/>
          <w:bCs/>
          <w:color w:val="auto"/>
          <w:kern w:val="2"/>
          <w:sz w:val="21"/>
          <w:szCs w:val="21"/>
          <w:highlight w:val="none"/>
          <w:lang w:val="en-US" w:eastAsia="zh-CN"/>
        </w:rPr>
        <w:t>质量</w:t>
      </w:r>
      <w:r>
        <w:rPr>
          <w:rFonts w:hint="eastAsia" w:ascii="宋体" w:hAnsi="宋体" w:eastAsia="宋体" w:cs="宋体"/>
          <w:bCs/>
          <w:color w:val="auto"/>
          <w:kern w:val="2"/>
          <w:sz w:val="21"/>
          <w:szCs w:val="21"/>
          <w:highlight w:val="none"/>
        </w:rPr>
        <w:t>考核，若</w:t>
      </w:r>
      <w:r>
        <w:rPr>
          <w:rFonts w:hint="eastAsia" w:ascii="宋体" w:hAnsi="宋体" w:eastAsia="宋体" w:cs="宋体"/>
          <w:bCs/>
          <w:color w:val="auto"/>
          <w:kern w:val="2"/>
          <w:sz w:val="21"/>
          <w:szCs w:val="21"/>
          <w:highlight w:val="none"/>
          <w:lang w:val="en-US" w:eastAsia="zh-CN"/>
        </w:rPr>
        <w:t>每季度质量考核总分</w:t>
      </w:r>
      <w:r>
        <w:rPr>
          <w:rFonts w:hint="eastAsia" w:ascii="宋体" w:hAnsi="宋体" w:eastAsia="宋体" w:cs="宋体"/>
          <w:bCs/>
          <w:color w:val="auto"/>
          <w:kern w:val="2"/>
          <w:sz w:val="21"/>
          <w:szCs w:val="21"/>
          <w:highlight w:val="none"/>
        </w:rPr>
        <w:t>低于90分，采购人有权</w:t>
      </w:r>
      <w:r>
        <w:rPr>
          <w:rFonts w:hint="eastAsia" w:ascii="宋体" w:hAnsi="宋体" w:eastAsia="宋体" w:cs="宋体"/>
          <w:bCs/>
          <w:color w:val="auto"/>
          <w:kern w:val="2"/>
          <w:sz w:val="21"/>
          <w:szCs w:val="21"/>
          <w:highlight w:val="none"/>
          <w:lang w:val="en-US" w:eastAsia="zh-CN"/>
        </w:rPr>
        <w:t>责</w:t>
      </w:r>
      <w:r>
        <w:rPr>
          <w:rFonts w:hint="eastAsia" w:ascii="宋体" w:hAnsi="宋体" w:eastAsia="宋体" w:cs="宋体"/>
          <w:bCs/>
          <w:color w:val="auto"/>
          <w:kern w:val="2"/>
          <w:sz w:val="21"/>
          <w:szCs w:val="21"/>
          <w:highlight w:val="none"/>
        </w:rPr>
        <w:t>令中标人限期整改，整改时限为十个日历日；若中标人整改后再次考核</w:t>
      </w:r>
      <w:r>
        <w:rPr>
          <w:rFonts w:hint="eastAsia" w:ascii="宋体" w:hAnsi="宋体" w:eastAsia="宋体" w:cs="宋体"/>
          <w:bCs/>
          <w:color w:val="auto"/>
          <w:kern w:val="2"/>
          <w:sz w:val="21"/>
          <w:szCs w:val="21"/>
          <w:highlight w:val="none"/>
          <w:lang w:val="en-US" w:eastAsia="zh-CN"/>
        </w:rPr>
        <w:t>得分</w:t>
      </w:r>
      <w:r>
        <w:rPr>
          <w:rFonts w:hint="eastAsia" w:ascii="宋体" w:hAnsi="宋体" w:eastAsia="宋体" w:cs="宋体"/>
          <w:bCs/>
          <w:color w:val="auto"/>
          <w:kern w:val="2"/>
          <w:sz w:val="21"/>
          <w:szCs w:val="21"/>
          <w:highlight w:val="none"/>
        </w:rPr>
        <w:t>仍低于90分</w:t>
      </w:r>
      <w:r>
        <w:rPr>
          <w:rFonts w:hint="eastAsia" w:ascii="宋体" w:hAnsi="宋体" w:eastAsia="宋体" w:cs="宋体"/>
          <w:bCs/>
          <w:color w:val="auto"/>
          <w:kern w:val="2"/>
          <w:sz w:val="21"/>
          <w:szCs w:val="21"/>
          <w:highlight w:val="none"/>
          <w:lang w:val="en-US" w:eastAsia="zh-CN"/>
        </w:rPr>
        <w:t>的</w:t>
      </w:r>
      <w:r>
        <w:rPr>
          <w:rFonts w:hint="eastAsia" w:ascii="宋体" w:hAnsi="宋体" w:eastAsia="宋体" w:cs="宋体"/>
          <w:bCs/>
          <w:color w:val="auto"/>
          <w:kern w:val="2"/>
          <w:sz w:val="21"/>
          <w:szCs w:val="21"/>
          <w:highlight w:val="none"/>
        </w:rPr>
        <w:t>，采购人有权终止合同</w:t>
      </w:r>
      <w:r>
        <w:rPr>
          <w:rFonts w:hint="eastAsia" w:ascii="宋体" w:hAnsi="宋体" w:eastAsia="宋体" w:cs="宋体"/>
          <w:bCs/>
          <w:color w:val="auto"/>
          <w:kern w:val="2"/>
          <w:sz w:val="21"/>
          <w:szCs w:val="21"/>
          <w:highlight w:val="none"/>
          <w:lang w:val="en-US" w:eastAsia="zh-CN"/>
        </w:rPr>
        <w:t>且不承担违约责任</w:t>
      </w:r>
      <w:r>
        <w:rPr>
          <w:rFonts w:hint="eastAsia" w:ascii="宋体" w:hAnsi="宋体" w:eastAsia="宋体" w:cs="宋体"/>
          <w:bCs/>
          <w:color w:val="auto"/>
          <w:kern w:val="2"/>
          <w:sz w:val="21"/>
          <w:szCs w:val="21"/>
          <w:highlight w:val="none"/>
        </w:rPr>
        <w:t>。</w:t>
      </w:r>
      <w:r>
        <w:rPr>
          <w:rFonts w:hint="eastAsia" w:ascii="宋体" w:hAnsi="宋体" w:eastAsia="宋体" w:cs="宋体"/>
          <w:bCs/>
          <w:color w:val="auto"/>
          <w:kern w:val="2"/>
          <w:sz w:val="21"/>
          <w:szCs w:val="21"/>
          <w:highlight w:val="none"/>
          <w:lang w:val="en-US" w:eastAsia="zh-CN"/>
        </w:rPr>
        <w:t>一年期合同到期前2个月进行年度考核：年度考核综合得分=年终考核得分（占比60%）+季度考核平均得分（占比40%），年度考核综合得分≥90</w:t>
      </w:r>
      <w:r>
        <w:rPr>
          <w:rFonts w:hint="eastAsia" w:ascii="宋体" w:hAnsi="宋体" w:eastAsia="宋体" w:cs="宋体"/>
          <w:bCs/>
          <w:color w:val="auto"/>
          <w:kern w:val="2"/>
          <w:sz w:val="21"/>
          <w:szCs w:val="21"/>
          <w:highlight w:val="none"/>
        </w:rPr>
        <w:t>分</w:t>
      </w:r>
      <w:r>
        <w:rPr>
          <w:rFonts w:hint="eastAsia" w:ascii="宋体" w:hAnsi="宋体" w:eastAsia="宋体" w:cs="宋体"/>
          <w:bCs/>
          <w:color w:val="auto"/>
          <w:kern w:val="2"/>
          <w:sz w:val="21"/>
          <w:szCs w:val="21"/>
          <w:highlight w:val="none"/>
          <w:lang w:val="en-US" w:eastAsia="zh-CN"/>
        </w:rPr>
        <w:t>且双方无异议可续签一年</w:t>
      </w:r>
      <w:r>
        <w:rPr>
          <w:rFonts w:hint="eastAsia" w:ascii="宋体" w:hAnsi="宋体" w:eastAsia="宋体" w:cs="宋体"/>
          <w:bCs/>
          <w:color w:val="auto"/>
          <w:kern w:val="2"/>
          <w:sz w:val="21"/>
          <w:szCs w:val="21"/>
          <w:highlight w:val="none"/>
        </w:rPr>
        <w:t>。</w:t>
      </w:r>
    </w:p>
    <w:p w14:paraId="45A56DA8">
      <w:pPr>
        <w:keepNext w:val="0"/>
        <w:keepLines w:val="0"/>
        <w:pageBreakBefore w:val="0"/>
        <w:widowControl w:val="0"/>
        <w:kinsoku/>
        <w:wordWrap/>
        <w:overflowPunct/>
        <w:topLinePunct w:val="0"/>
        <w:autoSpaceDE/>
        <w:autoSpaceDN/>
        <w:bidi w:val="0"/>
        <w:adjustRightInd/>
        <w:snapToGrid/>
        <w:spacing w:line="360" w:lineRule="auto"/>
        <w:ind w:firstLine="420" w:firstLineChars="200"/>
        <w:textAlignment w:val="auto"/>
        <w:rPr>
          <w:rFonts w:hint="eastAsia" w:ascii="宋体" w:hAnsi="宋体" w:eastAsia="宋体" w:cs="宋体"/>
          <w:bCs/>
          <w:color w:val="auto"/>
          <w:kern w:val="2"/>
          <w:sz w:val="21"/>
          <w:szCs w:val="21"/>
          <w:highlight w:val="none"/>
        </w:rPr>
      </w:pPr>
      <w:r>
        <w:rPr>
          <w:rFonts w:hint="eastAsia" w:ascii="宋体" w:hAnsi="宋体" w:eastAsia="宋体" w:cs="宋体"/>
          <w:bCs/>
          <w:color w:val="auto"/>
          <w:kern w:val="2"/>
          <w:sz w:val="21"/>
          <w:szCs w:val="21"/>
          <w:highlight w:val="none"/>
        </w:rPr>
        <w:t>5、支付方式：按月</w:t>
      </w:r>
      <w:r>
        <w:rPr>
          <w:rFonts w:hint="eastAsia" w:ascii="宋体" w:hAnsi="宋体" w:eastAsia="宋体" w:cs="宋体"/>
          <w:bCs/>
          <w:color w:val="auto"/>
          <w:kern w:val="2"/>
          <w:sz w:val="21"/>
          <w:szCs w:val="21"/>
          <w:highlight w:val="none"/>
          <w:lang w:val="en-US" w:eastAsia="zh-CN"/>
        </w:rPr>
        <w:t>据实</w:t>
      </w:r>
      <w:r>
        <w:rPr>
          <w:rFonts w:hint="eastAsia" w:ascii="宋体" w:hAnsi="宋体" w:eastAsia="宋体" w:cs="宋体"/>
          <w:bCs/>
          <w:color w:val="auto"/>
          <w:kern w:val="2"/>
          <w:sz w:val="21"/>
          <w:szCs w:val="21"/>
          <w:highlight w:val="none"/>
        </w:rPr>
        <w:t>付款</w:t>
      </w:r>
      <w:r>
        <w:rPr>
          <w:rFonts w:hint="eastAsia" w:ascii="宋体" w:hAnsi="宋体" w:eastAsia="宋体" w:cs="宋体"/>
          <w:bCs/>
          <w:color w:val="auto"/>
          <w:kern w:val="2"/>
          <w:sz w:val="21"/>
          <w:szCs w:val="21"/>
          <w:highlight w:val="none"/>
          <w:lang w:eastAsia="zh-CN"/>
        </w:rPr>
        <w:t>（</w:t>
      </w:r>
      <w:r>
        <w:rPr>
          <w:rFonts w:hint="eastAsia" w:ascii="宋体" w:hAnsi="宋体" w:eastAsia="宋体" w:cs="宋体"/>
          <w:bCs/>
          <w:color w:val="auto"/>
          <w:kern w:val="2"/>
          <w:sz w:val="21"/>
          <w:szCs w:val="21"/>
          <w:highlight w:val="none"/>
          <w:lang w:val="en-US" w:eastAsia="zh-CN"/>
        </w:rPr>
        <w:t>同时扣减违约</w:t>
      </w:r>
      <w:r>
        <w:rPr>
          <w:rFonts w:hint="eastAsia" w:ascii="宋体" w:hAnsi="宋体" w:eastAsia="宋体" w:cs="宋体"/>
          <w:bCs/>
          <w:color w:val="auto"/>
          <w:kern w:val="2"/>
          <w:sz w:val="21"/>
          <w:szCs w:val="21"/>
          <w:highlight w:val="none"/>
          <w:lang w:eastAsia="zh-CN"/>
        </w:rPr>
        <w:t>经济赔偿</w:t>
      </w:r>
      <w:r>
        <w:rPr>
          <w:rFonts w:hint="eastAsia" w:ascii="宋体" w:hAnsi="宋体" w:eastAsia="宋体" w:cs="宋体"/>
          <w:bCs/>
          <w:color w:val="auto"/>
          <w:kern w:val="2"/>
          <w:sz w:val="21"/>
          <w:szCs w:val="21"/>
          <w:highlight w:val="none"/>
          <w:lang w:val="en-US" w:eastAsia="zh-CN"/>
        </w:rPr>
        <w:t>费用（如有））</w:t>
      </w:r>
      <w:r>
        <w:rPr>
          <w:rFonts w:hint="eastAsia" w:ascii="宋体" w:hAnsi="宋体" w:eastAsia="宋体" w:cs="宋体"/>
          <w:bCs/>
          <w:color w:val="auto"/>
          <w:kern w:val="2"/>
          <w:sz w:val="21"/>
          <w:szCs w:val="21"/>
          <w:highlight w:val="none"/>
        </w:rPr>
        <w:t>。中标人每个月的25</w:t>
      </w:r>
      <w:r>
        <w:rPr>
          <w:rFonts w:hint="eastAsia" w:ascii="宋体" w:hAnsi="宋体" w:eastAsia="宋体" w:cs="宋体"/>
          <w:bCs/>
          <w:color w:val="auto"/>
          <w:kern w:val="2"/>
          <w:sz w:val="21"/>
          <w:szCs w:val="21"/>
          <w:highlight w:val="none"/>
          <w:lang w:val="en-US" w:eastAsia="zh-CN"/>
        </w:rPr>
        <w:t>日</w:t>
      </w:r>
      <w:r>
        <w:rPr>
          <w:rFonts w:hint="eastAsia" w:ascii="宋体" w:hAnsi="宋体" w:eastAsia="宋体" w:cs="宋体"/>
          <w:bCs/>
          <w:color w:val="auto"/>
          <w:kern w:val="2"/>
          <w:sz w:val="21"/>
          <w:szCs w:val="21"/>
          <w:highlight w:val="none"/>
        </w:rPr>
        <w:t>前将当月的服务对账信息以《服务对账单》形式送给采购人，26</w:t>
      </w:r>
      <w:r>
        <w:rPr>
          <w:rFonts w:hint="eastAsia" w:ascii="宋体" w:hAnsi="宋体" w:eastAsia="宋体" w:cs="宋体"/>
          <w:bCs/>
          <w:color w:val="auto"/>
          <w:kern w:val="2"/>
          <w:sz w:val="21"/>
          <w:szCs w:val="21"/>
          <w:highlight w:val="none"/>
          <w:lang w:val="en-US" w:eastAsia="zh-CN"/>
        </w:rPr>
        <w:t>号至本月结束所实际产生的费用</w:t>
      </w:r>
      <w:r>
        <w:rPr>
          <w:rFonts w:hint="eastAsia" w:ascii="宋体" w:hAnsi="宋体" w:eastAsia="宋体" w:cs="宋体"/>
          <w:bCs/>
          <w:color w:val="auto"/>
          <w:kern w:val="2"/>
          <w:sz w:val="21"/>
          <w:szCs w:val="21"/>
          <w:highlight w:val="none"/>
        </w:rPr>
        <w:t>顺延至下月对账单内，采购人在5个工作日内给予确认回复（</w:t>
      </w:r>
      <w:r>
        <w:rPr>
          <w:rFonts w:hint="eastAsia" w:ascii="宋体" w:hAnsi="宋体" w:eastAsia="宋体" w:cs="宋体"/>
          <w:bCs/>
          <w:color w:val="auto"/>
          <w:kern w:val="2"/>
          <w:sz w:val="21"/>
          <w:szCs w:val="21"/>
          <w:highlight w:val="none"/>
          <w:lang w:val="en-US" w:eastAsia="zh-CN"/>
        </w:rPr>
        <w:t>如</w:t>
      </w:r>
      <w:r>
        <w:rPr>
          <w:rFonts w:hint="eastAsia" w:ascii="宋体" w:hAnsi="宋体" w:eastAsia="宋体" w:cs="宋体"/>
          <w:bCs/>
          <w:color w:val="auto"/>
          <w:kern w:val="2"/>
          <w:sz w:val="21"/>
          <w:szCs w:val="21"/>
          <w:highlight w:val="none"/>
        </w:rPr>
        <w:t>遇节假日顺延，以下相同），确认无误后中标人将当月</w:t>
      </w:r>
      <w:r>
        <w:rPr>
          <w:rFonts w:hint="eastAsia" w:ascii="宋体" w:hAnsi="宋体" w:eastAsia="宋体" w:cs="宋体"/>
          <w:bCs/>
          <w:color w:val="auto"/>
          <w:kern w:val="2"/>
          <w:sz w:val="21"/>
          <w:szCs w:val="21"/>
          <w:highlight w:val="none"/>
          <w:lang w:val="en-US" w:eastAsia="zh-CN"/>
        </w:rPr>
        <w:t>实际产生的费用的</w:t>
      </w:r>
      <w:r>
        <w:rPr>
          <w:rFonts w:hint="eastAsia" w:ascii="宋体" w:hAnsi="宋体" w:eastAsia="宋体" w:cs="宋体"/>
          <w:bCs/>
          <w:color w:val="auto"/>
          <w:kern w:val="2"/>
          <w:sz w:val="21"/>
          <w:szCs w:val="21"/>
          <w:highlight w:val="none"/>
        </w:rPr>
        <w:t>发票</w:t>
      </w:r>
      <w:r>
        <w:rPr>
          <w:rFonts w:hint="eastAsia" w:ascii="宋体" w:hAnsi="宋体" w:eastAsia="宋体" w:cs="宋体"/>
          <w:bCs/>
          <w:color w:val="auto"/>
          <w:kern w:val="2"/>
          <w:sz w:val="21"/>
          <w:szCs w:val="21"/>
          <w:highlight w:val="none"/>
          <w:lang w:val="en-US" w:eastAsia="zh-CN"/>
        </w:rPr>
        <w:t>在每个月</w:t>
      </w:r>
      <w:r>
        <w:rPr>
          <w:rFonts w:hint="eastAsia" w:ascii="宋体" w:hAnsi="宋体" w:eastAsia="宋体" w:cs="宋体"/>
          <w:bCs/>
          <w:color w:val="auto"/>
          <w:kern w:val="2"/>
          <w:sz w:val="21"/>
          <w:szCs w:val="21"/>
          <w:highlight w:val="none"/>
        </w:rPr>
        <w:t>的28</w:t>
      </w:r>
      <w:r>
        <w:rPr>
          <w:rFonts w:hint="eastAsia" w:ascii="宋体" w:hAnsi="宋体" w:eastAsia="宋体" w:cs="宋体"/>
          <w:bCs/>
          <w:color w:val="auto"/>
          <w:kern w:val="2"/>
          <w:sz w:val="21"/>
          <w:szCs w:val="21"/>
          <w:highlight w:val="none"/>
          <w:lang w:val="en-US" w:eastAsia="zh-CN"/>
        </w:rPr>
        <w:t>日之</w:t>
      </w:r>
      <w:r>
        <w:rPr>
          <w:rFonts w:hint="eastAsia" w:ascii="宋体" w:hAnsi="宋体" w:eastAsia="宋体" w:cs="宋体"/>
          <w:bCs/>
          <w:color w:val="auto"/>
          <w:kern w:val="2"/>
          <w:sz w:val="21"/>
          <w:szCs w:val="21"/>
          <w:highlight w:val="none"/>
        </w:rPr>
        <w:t>前给采购人，采购人收到发票后</w:t>
      </w:r>
      <w:r>
        <w:rPr>
          <w:rFonts w:hint="eastAsia" w:hAnsi="宋体" w:cs="宋体"/>
          <w:bCs/>
          <w:color w:val="auto"/>
          <w:kern w:val="2"/>
          <w:sz w:val="21"/>
          <w:szCs w:val="21"/>
          <w:highlight w:val="none"/>
          <w:lang w:val="en-US" w:eastAsia="zh-CN"/>
        </w:rPr>
        <w:t>30</w:t>
      </w:r>
      <w:r>
        <w:rPr>
          <w:rFonts w:hint="eastAsia" w:ascii="宋体" w:hAnsi="宋体" w:eastAsia="宋体" w:cs="宋体"/>
          <w:bCs/>
          <w:color w:val="auto"/>
          <w:kern w:val="2"/>
          <w:sz w:val="21"/>
          <w:szCs w:val="21"/>
          <w:highlight w:val="none"/>
        </w:rPr>
        <w:t>个工作日内办理支付中标人服务费用。</w:t>
      </w:r>
    </w:p>
    <w:p w14:paraId="340E01C6">
      <w:pPr>
        <w:pStyle w:val="4"/>
        <w:keepNext w:val="0"/>
        <w:keepLines w:val="0"/>
        <w:pageBreakBefore w:val="0"/>
        <w:kinsoku/>
        <w:wordWrap/>
        <w:overflowPunct/>
        <w:topLinePunct w:val="0"/>
        <w:bidi w:val="0"/>
        <w:snapToGrid w:val="0"/>
        <w:spacing w:before="63" w:beforeLines="20"/>
        <w:ind w:left="0" w:leftChars="0" w:firstLine="0" w:firstLineChars="0"/>
        <w:textAlignment w:val="auto"/>
        <w:rPr>
          <w:rFonts w:hint="eastAsia" w:ascii="宋体" w:hAnsi="宋体" w:eastAsia="宋体" w:cs="宋体"/>
          <w:b/>
          <w:bCs/>
          <w:color w:val="auto"/>
          <w:sz w:val="21"/>
          <w:szCs w:val="21"/>
          <w:highlight w:val="none"/>
          <w:lang w:val="en-US" w:eastAsia="zh-CN" w:bidi="ar-SA"/>
        </w:rPr>
      </w:pPr>
      <w:r>
        <w:rPr>
          <w:rFonts w:hint="eastAsia" w:cs="宋体"/>
          <w:b/>
          <w:bCs/>
          <w:color w:val="auto"/>
          <w:sz w:val="21"/>
          <w:szCs w:val="21"/>
          <w:highlight w:val="none"/>
          <w:lang w:val="en-US" w:eastAsia="zh-CN" w:bidi="ar-SA"/>
        </w:rPr>
        <w:t>（二）</w:t>
      </w:r>
      <w:r>
        <w:rPr>
          <w:rFonts w:hint="eastAsia" w:ascii="宋体" w:hAnsi="宋体" w:eastAsia="宋体" w:cs="宋体"/>
          <w:b/>
          <w:bCs/>
          <w:color w:val="auto"/>
          <w:sz w:val="21"/>
          <w:szCs w:val="21"/>
          <w:highlight w:val="none"/>
          <w:lang w:val="en-US" w:eastAsia="zh-CN" w:bidi="ar-SA"/>
        </w:rPr>
        <w:t>投标人资质要求</w:t>
      </w:r>
    </w:p>
    <w:p w14:paraId="26A61AA5">
      <w:pPr>
        <w:keepNext w:val="0"/>
        <w:keepLines w:val="0"/>
        <w:pageBreakBefore w:val="0"/>
        <w:widowControl w:val="0"/>
        <w:kinsoku/>
        <w:wordWrap/>
        <w:overflowPunct/>
        <w:topLinePunct w:val="0"/>
        <w:autoSpaceDE/>
        <w:autoSpaceDN/>
        <w:bidi w:val="0"/>
        <w:adjustRightInd/>
        <w:snapToGrid/>
        <w:spacing w:line="360" w:lineRule="auto"/>
        <w:ind w:firstLine="420" w:firstLineChars="200"/>
        <w:textAlignment w:val="auto"/>
        <w:rPr>
          <w:rFonts w:hint="eastAsia" w:ascii="宋体" w:hAnsi="宋体" w:eastAsia="宋体" w:cs="宋体"/>
          <w:bCs/>
          <w:color w:val="auto"/>
          <w:kern w:val="2"/>
          <w:sz w:val="21"/>
          <w:szCs w:val="21"/>
          <w:highlight w:val="none"/>
          <w:lang w:val="en-US" w:eastAsia="zh-CN"/>
        </w:rPr>
      </w:pPr>
      <w:r>
        <w:rPr>
          <w:rFonts w:hint="eastAsia" w:ascii="宋体" w:hAnsi="宋体" w:eastAsia="宋体" w:cs="宋体"/>
          <w:bCs/>
          <w:color w:val="auto"/>
          <w:kern w:val="2"/>
          <w:sz w:val="21"/>
          <w:szCs w:val="21"/>
          <w:highlight w:val="none"/>
        </w:rPr>
        <w:t>1、</w:t>
      </w:r>
      <w:r>
        <w:rPr>
          <w:rFonts w:hint="eastAsia" w:ascii="宋体" w:hAnsi="宋体" w:eastAsia="宋体" w:cs="宋体"/>
          <w:bCs/>
          <w:color w:val="auto"/>
          <w:kern w:val="2"/>
          <w:sz w:val="21"/>
          <w:szCs w:val="21"/>
          <w:highlight w:val="none"/>
          <w:lang w:eastAsia="zh-CN"/>
        </w:rPr>
        <w:t>投标人</w:t>
      </w:r>
      <w:r>
        <w:rPr>
          <w:rFonts w:hint="eastAsia" w:ascii="宋体" w:hAnsi="宋体" w:eastAsia="宋体" w:cs="宋体"/>
          <w:bCs/>
          <w:color w:val="auto"/>
          <w:kern w:val="2"/>
          <w:sz w:val="21"/>
          <w:szCs w:val="21"/>
          <w:highlight w:val="none"/>
          <w:lang w:val="en-US" w:eastAsia="zh-CN"/>
        </w:rPr>
        <w:t>需提供在中华人民共和国境内注册的法人或其他组织的营业执照或事业单位法人证书或社会团体法人登记证书复印件（加盖公章）、法人资格证明书/法人授权委托书。</w:t>
      </w:r>
    </w:p>
    <w:p w14:paraId="0E30FB46">
      <w:pPr>
        <w:keepNext w:val="0"/>
        <w:keepLines w:val="0"/>
        <w:pageBreakBefore w:val="0"/>
        <w:widowControl w:val="0"/>
        <w:kinsoku/>
        <w:wordWrap/>
        <w:overflowPunct/>
        <w:topLinePunct w:val="0"/>
        <w:autoSpaceDE/>
        <w:autoSpaceDN/>
        <w:bidi w:val="0"/>
        <w:adjustRightInd/>
        <w:snapToGrid/>
        <w:spacing w:line="360" w:lineRule="auto"/>
        <w:ind w:firstLine="420" w:firstLineChars="200"/>
        <w:textAlignment w:val="auto"/>
        <w:rPr>
          <w:rFonts w:hint="eastAsia" w:ascii="宋体" w:hAnsi="宋体" w:eastAsia="宋体" w:cs="宋体"/>
          <w:bCs/>
          <w:color w:val="auto"/>
          <w:kern w:val="2"/>
          <w:sz w:val="21"/>
          <w:szCs w:val="21"/>
          <w:highlight w:val="none"/>
        </w:rPr>
      </w:pPr>
      <w:r>
        <w:rPr>
          <w:rFonts w:hint="eastAsia" w:ascii="宋体" w:hAnsi="宋体" w:eastAsia="宋体" w:cs="宋体"/>
          <w:bCs/>
          <w:color w:val="auto"/>
          <w:kern w:val="2"/>
          <w:sz w:val="21"/>
          <w:szCs w:val="21"/>
          <w:highlight w:val="none"/>
          <w:lang w:val="en-US" w:eastAsia="zh-CN"/>
        </w:rPr>
        <w:t>2</w:t>
      </w:r>
      <w:r>
        <w:rPr>
          <w:rFonts w:hint="eastAsia" w:ascii="宋体" w:hAnsi="宋体" w:eastAsia="宋体" w:cs="宋体"/>
          <w:bCs/>
          <w:color w:val="auto"/>
          <w:kern w:val="2"/>
          <w:sz w:val="21"/>
          <w:szCs w:val="21"/>
          <w:highlight w:val="none"/>
        </w:rPr>
        <w:t>、</w:t>
      </w:r>
      <w:r>
        <w:rPr>
          <w:rFonts w:hint="eastAsia" w:ascii="宋体" w:hAnsi="宋体" w:eastAsia="宋体" w:cs="宋体"/>
          <w:bCs/>
          <w:color w:val="auto"/>
          <w:kern w:val="2"/>
          <w:sz w:val="21"/>
          <w:szCs w:val="21"/>
          <w:highlight w:val="none"/>
          <w:lang w:eastAsia="zh-CN"/>
        </w:rPr>
        <w:t>投标人</w:t>
      </w:r>
      <w:r>
        <w:rPr>
          <w:rFonts w:hint="eastAsia" w:ascii="宋体" w:hAnsi="宋体" w:eastAsia="宋体" w:cs="宋体"/>
          <w:bCs/>
          <w:color w:val="auto"/>
          <w:kern w:val="2"/>
          <w:sz w:val="21"/>
          <w:szCs w:val="21"/>
          <w:highlight w:val="none"/>
        </w:rPr>
        <w:t>在“信用中国”（www.creditchina.gov.cn）、“中国政府采购网”（www.ccgp.gov.cn）没有被列入失信被执行人、重大税收违法案件当事人名单、政府采购严重违法失信行为记录名单（提供上述网站的信用记录查询结果打印或网页截图页面加盖</w:t>
      </w:r>
      <w:r>
        <w:rPr>
          <w:rFonts w:hint="eastAsia" w:ascii="宋体" w:hAnsi="宋体" w:eastAsia="宋体" w:cs="宋体"/>
          <w:bCs/>
          <w:color w:val="auto"/>
          <w:kern w:val="2"/>
          <w:sz w:val="21"/>
          <w:szCs w:val="21"/>
          <w:highlight w:val="none"/>
          <w:lang w:eastAsia="zh-CN"/>
        </w:rPr>
        <w:t>采购人</w:t>
      </w:r>
      <w:r>
        <w:rPr>
          <w:rFonts w:hint="eastAsia" w:ascii="宋体" w:hAnsi="宋体" w:eastAsia="宋体" w:cs="宋体"/>
          <w:bCs/>
          <w:color w:val="auto"/>
          <w:kern w:val="2"/>
          <w:sz w:val="21"/>
          <w:szCs w:val="21"/>
          <w:highlight w:val="none"/>
        </w:rPr>
        <w:t>公章），工商注册地在珠海市的</w:t>
      </w:r>
      <w:r>
        <w:rPr>
          <w:rFonts w:hint="eastAsia" w:ascii="宋体" w:hAnsi="宋体" w:eastAsia="宋体" w:cs="宋体"/>
          <w:bCs/>
          <w:color w:val="auto"/>
          <w:kern w:val="2"/>
          <w:sz w:val="21"/>
          <w:szCs w:val="21"/>
          <w:highlight w:val="none"/>
          <w:lang w:eastAsia="zh-CN"/>
        </w:rPr>
        <w:t>采购人</w:t>
      </w:r>
      <w:r>
        <w:rPr>
          <w:rFonts w:hint="eastAsia" w:ascii="宋体" w:hAnsi="宋体" w:eastAsia="宋体" w:cs="宋体"/>
          <w:bCs/>
          <w:color w:val="auto"/>
          <w:kern w:val="2"/>
          <w:sz w:val="21"/>
          <w:szCs w:val="21"/>
          <w:highlight w:val="none"/>
        </w:rPr>
        <w:t>还须同时提供“信用中国（广东珠海）”（http://credit.zhuhai.gov.cn/）的信用记录查询结果。</w:t>
      </w:r>
    </w:p>
    <w:p w14:paraId="613D4445">
      <w:pPr>
        <w:keepNext w:val="0"/>
        <w:keepLines w:val="0"/>
        <w:pageBreakBefore w:val="0"/>
        <w:widowControl w:val="0"/>
        <w:kinsoku/>
        <w:wordWrap/>
        <w:overflowPunct/>
        <w:topLinePunct w:val="0"/>
        <w:autoSpaceDE/>
        <w:autoSpaceDN/>
        <w:bidi w:val="0"/>
        <w:adjustRightInd/>
        <w:snapToGrid/>
        <w:spacing w:line="360" w:lineRule="auto"/>
        <w:ind w:firstLine="420" w:firstLineChars="200"/>
        <w:textAlignment w:val="auto"/>
        <w:rPr>
          <w:rFonts w:hint="eastAsia" w:ascii="宋体" w:hAnsi="宋体" w:eastAsia="宋体" w:cs="宋体"/>
          <w:bCs/>
          <w:color w:val="auto"/>
          <w:kern w:val="2"/>
          <w:sz w:val="21"/>
          <w:szCs w:val="21"/>
          <w:highlight w:val="none"/>
          <w:lang w:val="en-US" w:eastAsia="zh-CN"/>
        </w:rPr>
      </w:pPr>
      <w:r>
        <w:rPr>
          <w:rFonts w:hint="eastAsia" w:ascii="宋体" w:hAnsi="宋体" w:eastAsia="宋体" w:cs="宋体"/>
          <w:bCs/>
          <w:color w:val="auto"/>
          <w:kern w:val="2"/>
          <w:sz w:val="21"/>
          <w:szCs w:val="21"/>
          <w:highlight w:val="none"/>
          <w:lang w:val="en-US" w:eastAsia="zh-CN"/>
        </w:rPr>
        <w:t xml:space="preserve"> 3、投标人需提供有效的《医疗机构执业许可证》复印件并加盖公章。</w:t>
      </w:r>
      <w:bookmarkStart w:id="3" w:name="_Toc531940645"/>
      <w:bookmarkStart w:id="4" w:name="_Toc51573446"/>
      <w:bookmarkStart w:id="5" w:name="_Toc531940572"/>
    </w:p>
    <w:p w14:paraId="4BA6CE7B">
      <w:pPr>
        <w:snapToGrid w:val="0"/>
        <w:spacing w:line="360" w:lineRule="auto"/>
        <w:ind w:firstLine="420" w:firstLineChars="200"/>
        <w:rPr>
          <w:rFonts w:hint="default"/>
          <w:color w:val="auto"/>
          <w:highlight w:val="none"/>
          <w:lang w:val="en-US" w:eastAsia="zh-CN"/>
        </w:rPr>
      </w:pPr>
      <w:r>
        <w:rPr>
          <w:rFonts w:hint="eastAsia" w:cs="宋体"/>
          <w:bCs/>
          <w:color w:val="auto"/>
          <w:kern w:val="2"/>
          <w:sz w:val="21"/>
          <w:szCs w:val="21"/>
          <w:highlight w:val="none"/>
          <w:lang w:val="en-US" w:eastAsia="zh-CN"/>
        </w:rPr>
        <w:t>4、</w:t>
      </w:r>
      <w:r>
        <w:rPr>
          <w:rFonts w:hint="eastAsia" w:ascii="宋体" w:hAnsi="宋体" w:eastAsia="宋体" w:cs="宋体"/>
          <w:bCs/>
          <w:color w:val="auto"/>
          <w:kern w:val="2"/>
          <w:sz w:val="21"/>
          <w:szCs w:val="21"/>
          <w:highlight w:val="none"/>
        </w:rPr>
        <w:t>本项目不接受联合体投标</w:t>
      </w:r>
      <w:r>
        <w:rPr>
          <w:rFonts w:hint="eastAsia" w:ascii="宋体" w:hAnsi="宋体" w:eastAsia="宋体" w:cs="宋体"/>
          <w:bCs/>
          <w:color w:val="auto"/>
          <w:kern w:val="2"/>
          <w:sz w:val="21"/>
          <w:szCs w:val="21"/>
          <w:highlight w:val="none"/>
          <w:lang w:eastAsia="zh-CN"/>
        </w:rPr>
        <w:t>，</w:t>
      </w:r>
      <w:r>
        <w:rPr>
          <w:rFonts w:hint="eastAsia" w:ascii="宋体" w:hAnsi="宋体" w:eastAsia="宋体" w:cs="宋体"/>
          <w:bCs/>
          <w:color w:val="auto"/>
          <w:kern w:val="2"/>
          <w:sz w:val="21"/>
          <w:szCs w:val="21"/>
          <w:highlight w:val="none"/>
          <w:lang w:val="en-US" w:eastAsia="zh-CN"/>
        </w:rPr>
        <w:t>不允许分包、转包</w:t>
      </w:r>
      <w:r>
        <w:rPr>
          <w:rFonts w:hint="eastAsia" w:ascii="宋体" w:hAnsi="宋体" w:eastAsia="宋体" w:cs="宋体"/>
          <w:bCs/>
          <w:color w:val="auto"/>
          <w:kern w:val="2"/>
          <w:sz w:val="21"/>
          <w:szCs w:val="21"/>
          <w:highlight w:val="none"/>
        </w:rPr>
        <w:t>。</w:t>
      </w:r>
    </w:p>
    <w:p w14:paraId="27CBC4A4">
      <w:pPr>
        <w:keepNext w:val="0"/>
        <w:keepLines w:val="0"/>
        <w:pageBreakBefore w:val="0"/>
        <w:widowControl w:val="0"/>
        <w:kinsoku/>
        <w:wordWrap/>
        <w:overflowPunct/>
        <w:topLinePunct w:val="0"/>
        <w:autoSpaceDE/>
        <w:autoSpaceDN/>
        <w:bidi w:val="0"/>
        <w:adjustRightInd/>
        <w:snapToGrid/>
        <w:spacing w:line="360" w:lineRule="auto"/>
        <w:ind w:firstLine="422" w:firstLineChars="200"/>
        <w:textAlignment w:val="auto"/>
        <w:rPr>
          <w:rFonts w:hint="eastAsia" w:ascii="宋体" w:hAnsi="宋体" w:eastAsia="宋体" w:cs="宋体"/>
          <w:b/>
          <w:bCs/>
          <w:color w:val="auto"/>
          <w:kern w:val="2"/>
          <w:sz w:val="21"/>
          <w:szCs w:val="21"/>
          <w:highlight w:val="none"/>
          <w:lang w:eastAsia="zh-CN"/>
        </w:rPr>
      </w:pPr>
      <w:r>
        <w:rPr>
          <w:rFonts w:hint="eastAsia" w:ascii="宋体" w:hAnsi="宋体" w:eastAsia="宋体" w:cs="宋体"/>
          <w:b/>
          <w:bCs/>
          <w:color w:val="auto"/>
          <w:kern w:val="2"/>
          <w:sz w:val="21"/>
          <w:szCs w:val="21"/>
          <w:highlight w:val="none"/>
          <w:lang w:eastAsia="zh-CN"/>
        </w:rPr>
        <w:t>（</w:t>
      </w:r>
      <w:r>
        <w:rPr>
          <w:rFonts w:hint="eastAsia" w:hAnsi="宋体" w:cs="宋体"/>
          <w:b/>
          <w:bCs/>
          <w:color w:val="auto"/>
          <w:kern w:val="2"/>
          <w:sz w:val="21"/>
          <w:szCs w:val="21"/>
          <w:highlight w:val="none"/>
          <w:lang w:val="en-US" w:eastAsia="zh-CN"/>
        </w:rPr>
        <w:t>三</w:t>
      </w:r>
      <w:r>
        <w:rPr>
          <w:rFonts w:hint="eastAsia" w:ascii="宋体" w:hAnsi="宋体" w:eastAsia="宋体" w:cs="宋体"/>
          <w:b/>
          <w:bCs/>
          <w:color w:val="auto"/>
          <w:kern w:val="2"/>
          <w:sz w:val="21"/>
          <w:szCs w:val="21"/>
          <w:highlight w:val="none"/>
          <w:lang w:eastAsia="zh-CN"/>
        </w:rPr>
        <w:t>）</w:t>
      </w:r>
      <w:r>
        <w:rPr>
          <w:rFonts w:hint="eastAsia" w:ascii="宋体" w:hAnsi="宋体" w:eastAsia="宋体" w:cs="宋体"/>
          <w:b/>
          <w:bCs/>
          <w:color w:val="auto"/>
          <w:kern w:val="2"/>
          <w:sz w:val="21"/>
          <w:szCs w:val="21"/>
          <w:highlight w:val="none"/>
        </w:rPr>
        <w:t>项目说明</w:t>
      </w:r>
      <w:bookmarkEnd w:id="3"/>
      <w:bookmarkEnd w:id="4"/>
      <w:bookmarkEnd w:id="5"/>
      <w:r>
        <w:rPr>
          <w:rFonts w:hint="eastAsia" w:ascii="宋体" w:hAnsi="宋体" w:eastAsia="宋体" w:cs="宋体"/>
          <w:b/>
          <w:bCs/>
          <w:color w:val="auto"/>
          <w:kern w:val="2"/>
          <w:sz w:val="21"/>
          <w:szCs w:val="21"/>
          <w:highlight w:val="none"/>
          <w:lang w:eastAsia="zh-CN"/>
        </w:rPr>
        <w:t>：</w:t>
      </w:r>
    </w:p>
    <w:p w14:paraId="7F79C65F">
      <w:pPr>
        <w:keepNext w:val="0"/>
        <w:keepLines w:val="0"/>
        <w:pageBreakBefore w:val="0"/>
        <w:widowControl w:val="0"/>
        <w:numPr>
          <w:ilvl w:val="0"/>
          <w:numId w:val="0"/>
        </w:numPr>
        <w:kinsoku/>
        <w:wordWrap/>
        <w:overflowPunct/>
        <w:topLinePunct w:val="0"/>
        <w:autoSpaceDE/>
        <w:autoSpaceDN/>
        <w:bidi w:val="0"/>
        <w:adjustRightInd/>
        <w:snapToGrid/>
        <w:spacing w:line="360" w:lineRule="auto"/>
        <w:ind w:leftChars="0" w:firstLine="420" w:firstLineChars="200"/>
        <w:textAlignment w:val="auto"/>
        <w:rPr>
          <w:rFonts w:hint="eastAsia" w:ascii="宋体" w:hAnsi="宋体" w:eastAsia="宋体" w:cs="宋体"/>
          <w:bCs/>
          <w:color w:val="auto"/>
          <w:kern w:val="2"/>
          <w:sz w:val="21"/>
          <w:szCs w:val="21"/>
          <w:highlight w:val="none"/>
        </w:rPr>
      </w:pPr>
      <w:r>
        <w:rPr>
          <w:rFonts w:hint="eastAsia" w:ascii="宋体" w:hAnsi="宋体" w:eastAsia="宋体" w:cs="宋体"/>
          <w:bCs/>
          <w:color w:val="auto"/>
          <w:kern w:val="2"/>
          <w:sz w:val="21"/>
          <w:szCs w:val="21"/>
          <w:highlight w:val="none"/>
          <w:lang w:val="en-US" w:eastAsia="zh-CN"/>
        </w:rPr>
        <w:t>1.</w:t>
      </w:r>
      <w:r>
        <w:rPr>
          <w:rFonts w:hint="eastAsia" w:ascii="宋体" w:hAnsi="宋体" w:eastAsia="宋体" w:cs="宋体"/>
          <w:bCs/>
          <w:color w:val="auto"/>
          <w:kern w:val="2"/>
          <w:sz w:val="21"/>
          <w:szCs w:val="21"/>
          <w:highlight w:val="none"/>
        </w:rPr>
        <w:t>采购内容及</w:t>
      </w:r>
      <w:r>
        <w:rPr>
          <w:rFonts w:hint="eastAsia" w:hAnsi="宋体" w:cs="宋体"/>
          <w:bCs/>
          <w:color w:val="auto"/>
          <w:kern w:val="2"/>
          <w:sz w:val="21"/>
          <w:szCs w:val="21"/>
          <w:highlight w:val="none"/>
          <w:lang w:val="en-US" w:eastAsia="zh-CN"/>
        </w:rPr>
        <w:t>报价单</w:t>
      </w:r>
      <w:r>
        <w:rPr>
          <w:rFonts w:hint="eastAsia" w:ascii="宋体" w:hAnsi="宋体" w:eastAsia="宋体" w:cs="宋体"/>
          <w:bCs/>
          <w:color w:val="auto"/>
          <w:kern w:val="2"/>
          <w:sz w:val="21"/>
          <w:szCs w:val="21"/>
          <w:highlight w:val="none"/>
          <w:lang w:val="en-US" w:eastAsia="zh-CN"/>
        </w:rPr>
        <w:t>要求</w:t>
      </w:r>
      <w:r>
        <w:rPr>
          <w:rFonts w:hint="eastAsia" w:ascii="宋体" w:hAnsi="宋体" w:eastAsia="宋体" w:cs="宋体"/>
          <w:bCs/>
          <w:color w:val="auto"/>
          <w:kern w:val="2"/>
          <w:sz w:val="21"/>
          <w:szCs w:val="21"/>
          <w:highlight w:val="none"/>
        </w:rPr>
        <w:t>：</w:t>
      </w:r>
    </w:p>
    <w:tbl>
      <w:tblPr>
        <w:tblStyle w:val="5"/>
        <w:tblW w:w="10023"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70"/>
        <w:gridCol w:w="2820"/>
        <w:gridCol w:w="1539"/>
        <w:gridCol w:w="1721"/>
        <w:gridCol w:w="3273"/>
      </w:tblGrid>
      <w:tr w14:paraId="6C8D8AC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4" w:hRule="atLeast"/>
          <w:jc w:val="center"/>
        </w:trPr>
        <w:tc>
          <w:tcPr>
            <w:tcW w:w="670" w:type="dxa"/>
            <w:noWrap w:val="0"/>
            <w:vAlign w:val="center"/>
          </w:tcPr>
          <w:p w14:paraId="052B7419">
            <w:pPr>
              <w:keepNext w:val="0"/>
              <w:keepLines w:val="0"/>
              <w:pageBreakBefore w:val="0"/>
              <w:widowControl w:val="0"/>
              <w:kinsoku/>
              <w:wordWrap/>
              <w:overflowPunct/>
              <w:topLinePunct w:val="0"/>
              <w:autoSpaceDE/>
              <w:autoSpaceDN/>
              <w:bidi w:val="0"/>
              <w:adjustRightInd/>
              <w:snapToGrid/>
              <w:spacing w:line="360" w:lineRule="auto"/>
              <w:textAlignment w:val="auto"/>
              <w:rPr>
                <w:rFonts w:hint="eastAsia" w:ascii="宋体" w:hAnsi="宋体" w:eastAsia="宋体" w:cs="宋体"/>
                <w:bCs/>
                <w:color w:val="auto"/>
                <w:kern w:val="2"/>
                <w:sz w:val="21"/>
                <w:szCs w:val="21"/>
                <w:highlight w:val="none"/>
              </w:rPr>
            </w:pPr>
            <w:r>
              <w:rPr>
                <w:rFonts w:hint="eastAsia" w:ascii="宋体" w:hAnsi="宋体" w:eastAsia="宋体" w:cs="宋体"/>
                <w:bCs/>
                <w:color w:val="auto"/>
                <w:kern w:val="2"/>
                <w:sz w:val="21"/>
                <w:szCs w:val="21"/>
                <w:highlight w:val="none"/>
              </w:rPr>
              <w:t>序号</w:t>
            </w:r>
          </w:p>
        </w:tc>
        <w:tc>
          <w:tcPr>
            <w:tcW w:w="2820" w:type="dxa"/>
            <w:noWrap w:val="0"/>
            <w:vAlign w:val="center"/>
          </w:tcPr>
          <w:p w14:paraId="788A8B91">
            <w:pPr>
              <w:keepNext w:val="0"/>
              <w:keepLines w:val="0"/>
              <w:pageBreakBefore w:val="0"/>
              <w:widowControl w:val="0"/>
              <w:kinsoku/>
              <w:wordWrap/>
              <w:overflowPunct/>
              <w:topLinePunct w:val="0"/>
              <w:autoSpaceDE/>
              <w:autoSpaceDN/>
              <w:bidi w:val="0"/>
              <w:adjustRightInd/>
              <w:snapToGrid/>
              <w:spacing w:line="360" w:lineRule="auto"/>
              <w:jc w:val="center"/>
              <w:textAlignment w:val="auto"/>
              <w:rPr>
                <w:rFonts w:hint="eastAsia" w:ascii="宋体" w:hAnsi="宋体" w:eastAsia="宋体" w:cs="宋体"/>
                <w:bCs/>
                <w:color w:val="auto"/>
                <w:kern w:val="2"/>
                <w:sz w:val="21"/>
                <w:szCs w:val="21"/>
                <w:highlight w:val="none"/>
              </w:rPr>
            </w:pPr>
            <w:r>
              <w:rPr>
                <w:rFonts w:hint="eastAsia" w:ascii="宋体" w:hAnsi="宋体" w:eastAsia="宋体" w:cs="宋体"/>
                <w:bCs/>
                <w:color w:val="auto"/>
                <w:kern w:val="2"/>
                <w:sz w:val="21"/>
                <w:szCs w:val="21"/>
                <w:highlight w:val="none"/>
              </w:rPr>
              <w:t>分项名称</w:t>
            </w:r>
          </w:p>
        </w:tc>
        <w:tc>
          <w:tcPr>
            <w:tcW w:w="1539" w:type="dxa"/>
            <w:noWrap w:val="0"/>
            <w:vAlign w:val="center"/>
          </w:tcPr>
          <w:p w14:paraId="7E404129">
            <w:pPr>
              <w:keepNext w:val="0"/>
              <w:keepLines w:val="0"/>
              <w:pageBreakBefore w:val="0"/>
              <w:widowControl w:val="0"/>
              <w:kinsoku/>
              <w:wordWrap/>
              <w:overflowPunct/>
              <w:topLinePunct w:val="0"/>
              <w:autoSpaceDE/>
              <w:autoSpaceDN/>
              <w:bidi w:val="0"/>
              <w:adjustRightInd/>
              <w:snapToGrid/>
              <w:spacing w:line="360" w:lineRule="auto"/>
              <w:jc w:val="center"/>
              <w:textAlignment w:val="auto"/>
              <w:rPr>
                <w:rFonts w:hint="eastAsia" w:ascii="宋体" w:hAnsi="宋体" w:eastAsia="宋体" w:cs="宋体"/>
                <w:bCs/>
                <w:color w:val="auto"/>
                <w:kern w:val="2"/>
                <w:sz w:val="21"/>
                <w:szCs w:val="21"/>
                <w:highlight w:val="none"/>
                <w:lang w:eastAsia="zh-CN"/>
              </w:rPr>
            </w:pPr>
            <w:r>
              <w:rPr>
                <w:rFonts w:hint="eastAsia" w:hAnsi="宋体" w:cs="宋体"/>
                <w:bCs/>
                <w:color w:val="auto"/>
                <w:kern w:val="2"/>
                <w:sz w:val="21"/>
                <w:szCs w:val="21"/>
                <w:highlight w:val="none"/>
                <w:lang w:val="en-US" w:eastAsia="zh-CN"/>
              </w:rPr>
              <w:t>单价</w:t>
            </w:r>
          </w:p>
        </w:tc>
        <w:tc>
          <w:tcPr>
            <w:tcW w:w="1721" w:type="dxa"/>
            <w:noWrap w:val="0"/>
            <w:vAlign w:val="center"/>
          </w:tcPr>
          <w:p w14:paraId="6325A9FD">
            <w:pPr>
              <w:keepNext w:val="0"/>
              <w:keepLines w:val="0"/>
              <w:pageBreakBefore w:val="0"/>
              <w:widowControl w:val="0"/>
              <w:kinsoku/>
              <w:wordWrap/>
              <w:overflowPunct/>
              <w:topLinePunct w:val="0"/>
              <w:autoSpaceDE/>
              <w:autoSpaceDN/>
              <w:bidi w:val="0"/>
              <w:adjustRightInd/>
              <w:snapToGrid/>
              <w:spacing w:line="360" w:lineRule="auto"/>
              <w:jc w:val="center"/>
              <w:textAlignment w:val="auto"/>
              <w:rPr>
                <w:rFonts w:hint="eastAsia" w:ascii="宋体" w:hAnsi="宋体" w:eastAsia="宋体" w:cs="宋体"/>
                <w:bCs/>
                <w:color w:val="auto"/>
                <w:kern w:val="2"/>
                <w:sz w:val="21"/>
                <w:szCs w:val="21"/>
                <w:highlight w:val="none"/>
              </w:rPr>
            </w:pPr>
            <w:r>
              <w:rPr>
                <w:rFonts w:hint="eastAsia" w:ascii="宋体" w:hAnsi="宋体" w:eastAsia="宋体" w:cs="宋体"/>
                <w:bCs/>
                <w:color w:val="auto"/>
                <w:kern w:val="2"/>
                <w:sz w:val="21"/>
                <w:szCs w:val="21"/>
                <w:highlight w:val="none"/>
                <w:lang w:val="en-US" w:eastAsia="zh-CN"/>
              </w:rPr>
              <w:t>服务</w:t>
            </w:r>
            <w:r>
              <w:rPr>
                <w:rFonts w:hint="eastAsia" w:ascii="宋体" w:hAnsi="宋体" w:eastAsia="宋体" w:cs="宋体"/>
                <w:bCs/>
                <w:color w:val="auto"/>
                <w:kern w:val="2"/>
                <w:sz w:val="21"/>
                <w:szCs w:val="21"/>
                <w:highlight w:val="none"/>
              </w:rPr>
              <w:t>内容</w:t>
            </w:r>
          </w:p>
        </w:tc>
        <w:tc>
          <w:tcPr>
            <w:tcW w:w="3273" w:type="dxa"/>
            <w:noWrap w:val="0"/>
            <w:vAlign w:val="center"/>
          </w:tcPr>
          <w:p w14:paraId="33878C12">
            <w:pPr>
              <w:keepNext w:val="0"/>
              <w:keepLines w:val="0"/>
              <w:pageBreakBefore w:val="0"/>
              <w:widowControl w:val="0"/>
              <w:kinsoku/>
              <w:wordWrap/>
              <w:overflowPunct/>
              <w:topLinePunct w:val="0"/>
              <w:autoSpaceDE/>
              <w:autoSpaceDN/>
              <w:bidi w:val="0"/>
              <w:adjustRightInd/>
              <w:snapToGrid/>
              <w:spacing w:line="360" w:lineRule="auto"/>
              <w:jc w:val="center"/>
              <w:textAlignment w:val="auto"/>
              <w:rPr>
                <w:rFonts w:hint="eastAsia" w:ascii="宋体" w:hAnsi="宋体" w:eastAsia="宋体" w:cs="宋体"/>
                <w:bCs/>
                <w:color w:val="auto"/>
                <w:kern w:val="2"/>
                <w:sz w:val="21"/>
                <w:szCs w:val="21"/>
                <w:highlight w:val="none"/>
              </w:rPr>
            </w:pPr>
            <w:r>
              <w:rPr>
                <w:rFonts w:hint="eastAsia" w:ascii="宋体" w:hAnsi="宋体" w:eastAsia="宋体" w:cs="宋体"/>
                <w:bCs/>
                <w:color w:val="auto"/>
                <w:kern w:val="2"/>
                <w:sz w:val="21"/>
                <w:szCs w:val="21"/>
                <w:highlight w:val="none"/>
              </w:rPr>
              <w:t>备注</w:t>
            </w:r>
          </w:p>
        </w:tc>
      </w:tr>
      <w:tr w14:paraId="2AB52DC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670" w:type="dxa"/>
            <w:noWrap w:val="0"/>
            <w:vAlign w:val="center"/>
          </w:tcPr>
          <w:p w14:paraId="34E02B46">
            <w:pPr>
              <w:keepNext w:val="0"/>
              <w:keepLines w:val="0"/>
              <w:pageBreakBefore w:val="0"/>
              <w:widowControl w:val="0"/>
              <w:numPr>
                <w:ilvl w:val="0"/>
                <w:numId w:val="1"/>
              </w:numPr>
              <w:kinsoku/>
              <w:wordWrap/>
              <w:overflowPunct/>
              <w:topLinePunct w:val="0"/>
              <w:autoSpaceDE/>
              <w:autoSpaceDN/>
              <w:bidi w:val="0"/>
              <w:adjustRightInd/>
              <w:snapToGrid/>
              <w:spacing w:line="360" w:lineRule="auto"/>
              <w:jc w:val="center"/>
              <w:textAlignment w:val="auto"/>
              <w:rPr>
                <w:rFonts w:hint="eastAsia" w:ascii="宋体" w:hAnsi="宋体" w:eastAsia="宋体" w:cs="宋体"/>
                <w:color w:val="auto"/>
                <w:kern w:val="2"/>
                <w:sz w:val="21"/>
                <w:szCs w:val="21"/>
                <w:highlight w:val="none"/>
              </w:rPr>
            </w:pPr>
          </w:p>
        </w:tc>
        <w:tc>
          <w:tcPr>
            <w:tcW w:w="9353" w:type="dxa"/>
            <w:gridSpan w:val="4"/>
            <w:noWrap w:val="0"/>
            <w:vAlign w:val="center"/>
          </w:tcPr>
          <w:p w14:paraId="099559E6">
            <w:pPr>
              <w:keepNext w:val="0"/>
              <w:keepLines w:val="0"/>
              <w:pageBreakBefore w:val="0"/>
              <w:widowControl w:val="0"/>
              <w:kinsoku/>
              <w:wordWrap/>
              <w:overflowPunct/>
              <w:topLinePunct w:val="0"/>
              <w:autoSpaceDE/>
              <w:autoSpaceDN/>
              <w:bidi w:val="0"/>
              <w:adjustRightInd/>
              <w:snapToGrid/>
              <w:spacing w:line="360" w:lineRule="auto"/>
              <w:textAlignment w:val="auto"/>
              <w:rPr>
                <w:rFonts w:hint="eastAsia" w:ascii="宋体" w:hAnsi="宋体" w:eastAsia="宋体" w:cs="宋体"/>
                <w:bCs/>
                <w:color w:val="auto"/>
                <w:kern w:val="2"/>
                <w:sz w:val="21"/>
                <w:szCs w:val="21"/>
                <w:highlight w:val="none"/>
              </w:rPr>
            </w:pPr>
            <w:r>
              <w:rPr>
                <w:rFonts w:hint="eastAsia" w:ascii="宋体" w:hAnsi="宋体" w:eastAsia="宋体" w:cs="宋体"/>
                <w:bCs/>
                <w:color w:val="auto"/>
                <w:kern w:val="2"/>
                <w:sz w:val="21"/>
                <w:szCs w:val="21"/>
                <w:highlight w:val="none"/>
              </w:rPr>
              <w:t>全流程高温灭菌器械（按拆解最小单位计算）</w:t>
            </w:r>
          </w:p>
        </w:tc>
      </w:tr>
      <w:tr w14:paraId="57B0592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3" w:hRule="atLeast"/>
          <w:jc w:val="center"/>
        </w:trPr>
        <w:tc>
          <w:tcPr>
            <w:tcW w:w="670" w:type="dxa"/>
            <w:noWrap w:val="0"/>
            <w:vAlign w:val="center"/>
          </w:tcPr>
          <w:p w14:paraId="4E5529A2">
            <w:pPr>
              <w:keepNext w:val="0"/>
              <w:keepLines w:val="0"/>
              <w:pageBreakBefore w:val="0"/>
              <w:widowControl w:val="0"/>
              <w:numPr>
                <w:ilvl w:val="0"/>
                <w:numId w:val="2"/>
              </w:numPr>
              <w:kinsoku/>
              <w:wordWrap/>
              <w:overflowPunct/>
              <w:topLinePunct w:val="0"/>
              <w:autoSpaceDE/>
              <w:autoSpaceDN/>
              <w:bidi w:val="0"/>
              <w:adjustRightInd/>
              <w:snapToGrid/>
              <w:spacing w:line="360" w:lineRule="auto"/>
              <w:jc w:val="center"/>
              <w:textAlignment w:val="auto"/>
              <w:rPr>
                <w:rFonts w:hint="eastAsia" w:ascii="宋体" w:hAnsi="宋体" w:eastAsia="宋体" w:cs="宋体"/>
                <w:color w:val="auto"/>
                <w:kern w:val="2"/>
                <w:sz w:val="21"/>
                <w:szCs w:val="21"/>
                <w:highlight w:val="none"/>
              </w:rPr>
            </w:pPr>
          </w:p>
        </w:tc>
        <w:tc>
          <w:tcPr>
            <w:tcW w:w="2820" w:type="dxa"/>
            <w:noWrap w:val="0"/>
            <w:vAlign w:val="center"/>
          </w:tcPr>
          <w:p w14:paraId="2464BECE">
            <w:pPr>
              <w:keepNext w:val="0"/>
              <w:keepLines w:val="0"/>
              <w:pageBreakBefore w:val="0"/>
              <w:widowControl w:val="0"/>
              <w:kinsoku/>
              <w:wordWrap/>
              <w:overflowPunct/>
              <w:topLinePunct w:val="0"/>
              <w:autoSpaceDE/>
              <w:autoSpaceDN/>
              <w:bidi w:val="0"/>
              <w:adjustRightInd/>
              <w:snapToGrid/>
              <w:spacing w:line="360" w:lineRule="auto"/>
              <w:textAlignment w:val="auto"/>
              <w:rPr>
                <w:rFonts w:hint="eastAsia" w:ascii="宋体" w:hAnsi="宋体" w:eastAsia="宋体" w:cs="宋体"/>
                <w:bCs/>
                <w:color w:val="auto"/>
                <w:kern w:val="2"/>
                <w:sz w:val="21"/>
                <w:szCs w:val="21"/>
                <w:highlight w:val="none"/>
              </w:rPr>
            </w:pPr>
            <w:r>
              <w:rPr>
                <w:rFonts w:hint="eastAsia" w:ascii="宋体" w:hAnsi="宋体" w:eastAsia="宋体" w:cs="宋体"/>
                <w:bCs/>
                <w:color w:val="auto"/>
                <w:kern w:val="2"/>
                <w:sz w:val="21"/>
                <w:szCs w:val="21"/>
                <w:highlight w:val="none"/>
              </w:rPr>
              <w:t>普通器械高温灭菌（含腔镜器械）</w:t>
            </w:r>
          </w:p>
        </w:tc>
        <w:tc>
          <w:tcPr>
            <w:tcW w:w="1539" w:type="dxa"/>
            <w:noWrap w:val="0"/>
            <w:vAlign w:val="center"/>
          </w:tcPr>
          <w:p w14:paraId="5760575F">
            <w:pPr>
              <w:keepNext w:val="0"/>
              <w:keepLines w:val="0"/>
              <w:pageBreakBefore w:val="0"/>
              <w:widowControl w:val="0"/>
              <w:kinsoku/>
              <w:wordWrap/>
              <w:overflowPunct/>
              <w:topLinePunct w:val="0"/>
              <w:autoSpaceDE/>
              <w:autoSpaceDN/>
              <w:bidi w:val="0"/>
              <w:adjustRightInd/>
              <w:snapToGrid/>
              <w:spacing w:line="360" w:lineRule="auto"/>
              <w:jc w:val="center"/>
              <w:textAlignment w:val="auto"/>
              <w:rPr>
                <w:rFonts w:hint="eastAsia" w:ascii="宋体" w:hAnsi="宋体" w:eastAsia="宋体" w:cs="宋体"/>
                <w:bCs/>
                <w:color w:val="auto"/>
                <w:kern w:val="2"/>
                <w:sz w:val="21"/>
                <w:szCs w:val="21"/>
                <w:highlight w:val="none"/>
              </w:rPr>
            </w:pPr>
            <w:r>
              <w:rPr>
                <w:rFonts w:hint="eastAsia" w:ascii="宋体" w:hAnsi="宋体" w:eastAsia="宋体" w:cs="宋体"/>
                <w:bCs/>
                <w:color w:val="auto"/>
                <w:kern w:val="2"/>
                <w:sz w:val="21"/>
                <w:szCs w:val="21"/>
                <w:highlight w:val="none"/>
              </w:rPr>
              <w:t>元/把</w:t>
            </w:r>
          </w:p>
        </w:tc>
        <w:tc>
          <w:tcPr>
            <w:tcW w:w="1721" w:type="dxa"/>
            <w:noWrap w:val="0"/>
            <w:vAlign w:val="center"/>
          </w:tcPr>
          <w:p w14:paraId="57325118">
            <w:pPr>
              <w:keepNext w:val="0"/>
              <w:keepLines w:val="0"/>
              <w:pageBreakBefore w:val="0"/>
              <w:widowControl w:val="0"/>
              <w:kinsoku/>
              <w:wordWrap/>
              <w:overflowPunct/>
              <w:topLinePunct w:val="0"/>
              <w:autoSpaceDE/>
              <w:autoSpaceDN/>
              <w:bidi w:val="0"/>
              <w:adjustRightInd/>
              <w:snapToGrid/>
              <w:spacing w:line="360" w:lineRule="auto"/>
              <w:textAlignment w:val="auto"/>
              <w:rPr>
                <w:rFonts w:hint="eastAsia" w:ascii="宋体" w:hAnsi="宋体" w:eastAsia="宋体" w:cs="宋体"/>
                <w:bCs/>
                <w:color w:val="auto"/>
                <w:kern w:val="2"/>
                <w:sz w:val="21"/>
                <w:szCs w:val="21"/>
                <w:highlight w:val="none"/>
              </w:rPr>
            </w:pPr>
            <w:r>
              <w:rPr>
                <w:rFonts w:hint="eastAsia" w:ascii="宋体" w:hAnsi="宋体" w:eastAsia="宋体" w:cs="宋体"/>
                <w:bCs/>
                <w:color w:val="auto"/>
                <w:kern w:val="2"/>
                <w:sz w:val="21"/>
                <w:szCs w:val="21"/>
                <w:highlight w:val="none"/>
              </w:rPr>
              <w:t>清洗消毒灭菌</w:t>
            </w:r>
          </w:p>
        </w:tc>
        <w:tc>
          <w:tcPr>
            <w:tcW w:w="3273" w:type="dxa"/>
            <w:noWrap w:val="0"/>
            <w:vAlign w:val="center"/>
          </w:tcPr>
          <w:p w14:paraId="29B92F87">
            <w:pPr>
              <w:keepNext w:val="0"/>
              <w:keepLines w:val="0"/>
              <w:pageBreakBefore w:val="0"/>
              <w:widowControl w:val="0"/>
              <w:kinsoku/>
              <w:wordWrap/>
              <w:overflowPunct/>
              <w:topLinePunct w:val="0"/>
              <w:autoSpaceDE/>
              <w:autoSpaceDN/>
              <w:bidi w:val="0"/>
              <w:adjustRightInd/>
              <w:snapToGrid/>
              <w:spacing w:line="360" w:lineRule="auto"/>
              <w:textAlignment w:val="auto"/>
              <w:rPr>
                <w:rFonts w:hint="eastAsia" w:ascii="宋体" w:hAnsi="宋体" w:eastAsia="宋体" w:cs="宋体"/>
                <w:bCs/>
                <w:color w:val="auto"/>
                <w:kern w:val="2"/>
                <w:sz w:val="21"/>
                <w:szCs w:val="21"/>
                <w:highlight w:val="none"/>
              </w:rPr>
            </w:pPr>
            <w:r>
              <w:rPr>
                <w:rFonts w:hint="eastAsia" w:ascii="宋体" w:hAnsi="宋体" w:eastAsia="宋体" w:cs="宋体"/>
                <w:bCs/>
                <w:color w:val="auto"/>
                <w:kern w:val="2"/>
                <w:sz w:val="21"/>
                <w:szCs w:val="21"/>
                <w:highlight w:val="none"/>
              </w:rPr>
              <w:t>包内耗材按市场价另计                   （如：孔巾、治疗巾、纱布等）</w:t>
            </w:r>
          </w:p>
        </w:tc>
      </w:tr>
      <w:tr w14:paraId="5745D38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670" w:type="dxa"/>
            <w:noWrap w:val="0"/>
            <w:vAlign w:val="center"/>
          </w:tcPr>
          <w:p w14:paraId="6AE4A5CB">
            <w:pPr>
              <w:keepNext w:val="0"/>
              <w:keepLines w:val="0"/>
              <w:pageBreakBefore w:val="0"/>
              <w:widowControl w:val="0"/>
              <w:numPr>
                <w:ilvl w:val="0"/>
                <w:numId w:val="0"/>
              </w:numPr>
              <w:kinsoku/>
              <w:wordWrap/>
              <w:overflowPunct/>
              <w:topLinePunct w:val="0"/>
              <w:autoSpaceDE/>
              <w:autoSpaceDN/>
              <w:bidi w:val="0"/>
              <w:adjustRightInd/>
              <w:snapToGrid/>
              <w:spacing w:line="360" w:lineRule="auto"/>
              <w:ind w:leftChars="0"/>
              <w:jc w:val="center"/>
              <w:textAlignment w:val="auto"/>
              <w:rPr>
                <w:rFonts w:hint="default" w:ascii="宋体" w:hAnsi="宋体" w:eastAsia="宋体" w:cs="宋体"/>
                <w:color w:val="auto"/>
                <w:kern w:val="2"/>
                <w:sz w:val="21"/>
                <w:szCs w:val="21"/>
                <w:highlight w:val="none"/>
                <w:lang w:val="en-US" w:eastAsia="zh-CN"/>
              </w:rPr>
            </w:pPr>
            <w:r>
              <w:rPr>
                <w:rFonts w:hint="eastAsia" w:hAnsi="宋体" w:cs="宋体"/>
                <w:color w:val="auto"/>
                <w:kern w:val="2"/>
                <w:sz w:val="21"/>
                <w:szCs w:val="21"/>
                <w:highlight w:val="none"/>
                <w:lang w:val="en-US" w:eastAsia="zh-CN"/>
              </w:rPr>
              <w:t>2.</w:t>
            </w:r>
          </w:p>
        </w:tc>
        <w:tc>
          <w:tcPr>
            <w:tcW w:w="2820" w:type="dxa"/>
            <w:noWrap w:val="0"/>
            <w:vAlign w:val="center"/>
          </w:tcPr>
          <w:p w14:paraId="5D87FD8A">
            <w:pPr>
              <w:keepNext w:val="0"/>
              <w:keepLines w:val="0"/>
              <w:pageBreakBefore w:val="0"/>
              <w:widowControl w:val="0"/>
              <w:kinsoku/>
              <w:wordWrap/>
              <w:overflowPunct/>
              <w:topLinePunct w:val="0"/>
              <w:autoSpaceDE/>
              <w:autoSpaceDN/>
              <w:bidi w:val="0"/>
              <w:adjustRightInd/>
              <w:snapToGrid/>
              <w:spacing w:line="360" w:lineRule="auto"/>
              <w:textAlignment w:val="auto"/>
              <w:rPr>
                <w:rFonts w:hint="eastAsia" w:ascii="宋体" w:hAnsi="宋体" w:eastAsia="宋体" w:cs="宋体"/>
                <w:bCs/>
                <w:color w:val="auto"/>
                <w:kern w:val="2"/>
                <w:sz w:val="21"/>
                <w:szCs w:val="21"/>
                <w:highlight w:val="none"/>
                <w:lang w:val="en-US" w:eastAsia="zh-CN" w:bidi="ar-SA"/>
              </w:rPr>
            </w:pPr>
            <w:r>
              <w:rPr>
                <w:rFonts w:hint="eastAsia" w:ascii="宋体" w:hAnsi="宋体" w:eastAsia="宋体" w:cs="宋体"/>
                <w:bCs/>
                <w:color w:val="auto"/>
                <w:kern w:val="2"/>
                <w:sz w:val="21"/>
                <w:szCs w:val="21"/>
                <w:highlight w:val="none"/>
              </w:rPr>
              <w:t>塑封器械</w:t>
            </w:r>
          </w:p>
        </w:tc>
        <w:tc>
          <w:tcPr>
            <w:tcW w:w="1539" w:type="dxa"/>
            <w:noWrap w:val="0"/>
            <w:vAlign w:val="center"/>
          </w:tcPr>
          <w:p w14:paraId="33A4D9AE">
            <w:pPr>
              <w:keepNext w:val="0"/>
              <w:keepLines w:val="0"/>
              <w:pageBreakBefore w:val="0"/>
              <w:widowControl w:val="0"/>
              <w:kinsoku/>
              <w:wordWrap/>
              <w:overflowPunct/>
              <w:topLinePunct w:val="0"/>
              <w:autoSpaceDE/>
              <w:autoSpaceDN/>
              <w:bidi w:val="0"/>
              <w:adjustRightInd/>
              <w:snapToGrid/>
              <w:spacing w:line="360" w:lineRule="auto"/>
              <w:jc w:val="center"/>
              <w:textAlignment w:val="auto"/>
              <w:rPr>
                <w:rFonts w:hint="eastAsia" w:ascii="宋体" w:hAnsi="宋体" w:eastAsia="宋体" w:cs="宋体"/>
                <w:bCs/>
                <w:color w:val="auto"/>
                <w:kern w:val="2"/>
                <w:sz w:val="21"/>
                <w:szCs w:val="21"/>
                <w:highlight w:val="none"/>
                <w:lang w:val="en-US" w:eastAsia="zh-CN" w:bidi="ar-SA"/>
              </w:rPr>
            </w:pPr>
            <w:r>
              <w:rPr>
                <w:rFonts w:hint="eastAsia" w:ascii="宋体" w:hAnsi="宋体" w:eastAsia="宋体" w:cs="宋体"/>
                <w:bCs/>
                <w:color w:val="auto"/>
                <w:kern w:val="2"/>
                <w:sz w:val="21"/>
                <w:szCs w:val="21"/>
                <w:highlight w:val="none"/>
              </w:rPr>
              <w:t>元/件</w:t>
            </w:r>
          </w:p>
        </w:tc>
        <w:tc>
          <w:tcPr>
            <w:tcW w:w="1721" w:type="dxa"/>
            <w:noWrap w:val="0"/>
            <w:vAlign w:val="center"/>
          </w:tcPr>
          <w:p w14:paraId="6989E73B">
            <w:pPr>
              <w:keepNext w:val="0"/>
              <w:keepLines w:val="0"/>
              <w:pageBreakBefore w:val="0"/>
              <w:widowControl w:val="0"/>
              <w:kinsoku/>
              <w:wordWrap/>
              <w:overflowPunct/>
              <w:topLinePunct w:val="0"/>
              <w:autoSpaceDE/>
              <w:autoSpaceDN/>
              <w:bidi w:val="0"/>
              <w:adjustRightInd/>
              <w:snapToGrid/>
              <w:spacing w:line="360" w:lineRule="auto"/>
              <w:textAlignment w:val="auto"/>
              <w:rPr>
                <w:rFonts w:hint="eastAsia" w:ascii="宋体" w:hAnsi="宋体" w:eastAsia="宋体" w:cs="宋体"/>
                <w:bCs/>
                <w:color w:val="auto"/>
                <w:kern w:val="2"/>
                <w:sz w:val="21"/>
                <w:szCs w:val="21"/>
                <w:highlight w:val="none"/>
                <w:lang w:val="en-US" w:eastAsia="zh-CN" w:bidi="ar-SA"/>
              </w:rPr>
            </w:pPr>
            <w:r>
              <w:rPr>
                <w:rFonts w:hint="eastAsia" w:ascii="宋体" w:hAnsi="宋体" w:eastAsia="宋体" w:cs="宋体"/>
                <w:bCs/>
                <w:color w:val="auto"/>
                <w:kern w:val="2"/>
                <w:sz w:val="21"/>
                <w:szCs w:val="21"/>
                <w:highlight w:val="none"/>
              </w:rPr>
              <w:t>清洗消毒灭菌</w:t>
            </w:r>
          </w:p>
        </w:tc>
        <w:tc>
          <w:tcPr>
            <w:tcW w:w="3273" w:type="dxa"/>
            <w:noWrap w:val="0"/>
            <w:vAlign w:val="center"/>
          </w:tcPr>
          <w:p w14:paraId="121F692D">
            <w:pPr>
              <w:keepNext w:val="0"/>
              <w:keepLines w:val="0"/>
              <w:pageBreakBefore w:val="0"/>
              <w:widowControl w:val="0"/>
              <w:kinsoku/>
              <w:wordWrap/>
              <w:overflowPunct/>
              <w:topLinePunct w:val="0"/>
              <w:autoSpaceDE/>
              <w:autoSpaceDN/>
              <w:bidi w:val="0"/>
              <w:adjustRightInd/>
              <w:snapToGrid/>
              <w:spacing w:line="360" w:lineRule="auto"/>
              <w:textAlignment w:val="auto"/>
              <w:rPr>
                <w:rFonts w:hint="eastAsia" w:ascii="宋体" w:hAnsi="宋体" w:eastAsia="宋体" w:cs="宋体"/>
                <w:bCs/>
                <w:color w:val="auto"/>
                <w:kern w:val="2"/>
                <w:sz w:val="21"/>
                <w:szCs w:val="21"/>
                <w:highlight w:val="none"/>
                <w:lang w:val="en-US" w:eastAsia="zh-CN" w:bidi="ar-SA"/>
              </w:rPr>
            </w:pPr>
            <w:r>
              <w:rPr>
                <w:rFonts w:hint="eastAsia" w:ascii="宋体" w:hAnsi="宋体" w:eastAsia="宋体" w:cs="宋体"/>
                <w:color w:val="auto"/>
                <w:kern w:val="2"/>
                <w:sz w:val="21"/>
                <w:szCs w:val="21"/>
                <w:highlight w:val="none"/>
              </w:rPr>
              <w:t>口腔及眼科以包数代替件数</w:t>
            </w:r>
          </w:p>
        </w:tc>
      </w:tr>
      <w:tr w14:paraId="47F3FCC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670" w:type="dxa"/>
            <w:noWrap w:val="0"/>
            <w:vAlign w:val="center"/>
          </w:tcPr>
          <w:p w14:paraId="23E237C9">
            <w:pPr>
              <w:keepNext w:val="0"/>
              <w:keepLines w:val="0"/>
              <w:pageBreakBefore w:val="0"/>
              <w:widowControl w:val="0"/>
              <w:numPr>
                <w:ilvl w:val="0"/>
                <w:numId w:val="0"/>
              </w:numPr>
              <w:kinsoku/>
              <w:wordWrap/>
              <w:overflowPunct/>
              <w:topLinePunct w:val="0"/>
              <w:autoSpaceDE/>
              <w:autoSpaceDN/>
              <w:bidi w:val="0"/>
              <w:adjustRightInd/>
              <w:snapToGrid/>
              <w:spacing w:line="360" w:lineRule="auto"/>
              <w:ind w:leftChars="0"/>
              <w:jc w:val="center"/>
              <w:textAlignment w:val="auto"/>
              <w:rPr>
                <w:rFonts w:hint="default" w:ascii="宋体" w:hAnsi="宋体" w:eastAsia="宋体" w:cs="宋体"/>
                <w:color w:val="auto"/>
                <w:kern w:val="2"/>
                <w:sz w:val="21"/>
                <w:szCs w:val="21"/>
                <w:highlight w:val="none"/>
                <w:lang w:val="en-US" w:eastAsia="zh-CN"/>
              </w:rPr>
            </w:pPr>
            <w:r>
              <w:rPr>
                <w:rFonts w:hint="eastAsia" w:hAnsi="宋体" w:cs="宋体"/>
                <w:color w:val="auto"/>
                <w:kern w:val="2"/>
                <w:sz w:val="21"/>
                <w:szCs w:val="21"/>
                <w:highlight w:val="none"/>
                <w:lang w:val="en-US" w:eastAsia="zh-CN"/>
              </w:rPr>
              <w:t>3.</w:t>
            </w:r>
          </w:p>
        </w:tc>
        <w:tc>
          <w:tcPr>
            <w:tcW w:w="2820" w:type="dxa"/>
            <w:noWrap w:val="0"/>
            <w:vAlign w:val="center"/>
          </w:tcPr>
          <w:p w14:paraId="7341F06E">
            <w:pPr>
              <w:keepNext w:val="0"/>
              <w:keepLines w:val="0"/>
              <w:pageBreakBefore w:val="0"/>
              <w:widowControl w:val="0"/>
              <w:kinsoku/>
              <w:wordWrap/>
              <w:overflowPunct/>
              <w:topLinePunct w:val="0"/>
              <w:autoSpaceDE/>
              <w:autoSpaceDN/>
              <w:bidi w:val="0"/>
              <w:adjustRightInd/>
              <w:snapToGrid/>
              <w:spacing w:line="360" w:lineRule="auto"/>
              <w:textAlignment w:val="auto"/>
              <w:rPr>
                <w:rFonts w:hint="eastAsia" w:ascii="宋体" w:hAnsi="宋体" w:eastAsia="宋体" w:cs="宋体"/>
                <w:bCs/>
                <w:color w:val="auto"/>
                <w:kern w:val="2"/>
                <w:sz w:val="21"/>
                <w:szCs w:val="21"/>
                <w:highlight w:val="none"/>
              </w:rPr>
            </w:pPr>
            <w:r>
              <w:rPr>
                <w:rFonts w:hint="eastAsia" w:ascii="宋体" w:hAnsi="宋体" w:eastAsia="宋体" w:cs="宋体"/>
                <w:bCs/>
                <w:color w:val="auto"/>
                <w:kern w:val="2"/>
                <w:sz w:val="21"/>
                <w:szCs w:val="21"/>
                <w:highlight w:val="none"/>
              </w:rPr>
              <w:t>敷料包代灭菌</w:t>
            </w:r>
          </w:p>
        </w:tc>
        <w:tc>
          <w:tcPr>
            <w:tcW w:w="1539" w:type="dxa"/>
            <w:noWrap w:val="0"/>
            <w:vAlign w:val="center"/>
          </w:tcPr>
          <w:p w14:paraId="683A24E7">
            <w:pPr>
              <w:keepNext w:val="0"/>
              <w:keepLines w:val="0"/>
              <w:pageBreakBefore w:val="0"/>
              <w:widowControl w:val="0"/>
              <w:kinsoku/>
              <w:wordWrap/>
              <w:overflowPunct/>
              <w:topLinePunct w:val="0"/>
              <w:autoSpaceDE/>
              <w:autoSpaceDN/>
              <w:bidi w:val="0"/>
              <w:adjustRightInd/>
              <w:snapToGrid/>
              <w:spacing w:line="360" w:lineRule="auto"/>
              <w:jc w:val="center"/>
              <w:textAlignment w:val="auto"/>
              <w:rPr>
                <w:rFonts w:hint="eastAsia" w:ascii="宋体" w:hAnsi="宋体" w:eastAsia="宋体" w:cs="宋体"/>
                <w:bCs/>
                <w:color w:val="auto"/>
                <w:kern w:val="2"/>
                <w:sz w:val="21"/>
                <w:szCs w:val="21"/>
                <w:highlight w:val="none"/>
              </w:rPr>
            </w:pPr>
            <w:r>
              <w:rPr>
                <w:rFonts w:hint="eastAsia" w:ascii="宋体" w:hAnsi="宋体" w:eastAsia="宋体" w:cs="宋体"/>
                <w:bCs/>
                <w:color w:val="auto"/>
                <w:kern w:val="2"/>
                <w:sz w:val="21"/>
                <w:szCs w:val="21"/>
                <w:highlight w:val="none"/>
              </w:rPr>
              <w:t>元/包</w:t>
            </w:r>
          </w:p>
        </w:tc>
        <w:tc>
          <w:tcPr>
            <w:tcW w:w="1721" w:type="dxa"/>
            <w:noWrap w:val="0"/>
            <w:vAlign w:val="center"/>
          </w:tcPr>
          <w:p w14:paraId="6E28145D">
            <w:pPr>
              <w:keepNext w:val="0"/>
              <w:keepLines w:val="0"/>
              <w:pageBreakBefore w:val="0"/>
              <w:widowControl w:val="0"/>
              <w:kinsoku/>
              <w:wordWrap/>
              <w:overflowPunct/>
              <w:topLinePunct w:val="0"/>
              <w:autoSpaceDE/>
              <w:autoSpaceDN/>
              <w:bidi w:val="0"/>
              <w:adjustRightInd/>
              <w:snapToGrid/>
              <w:spacing w:line="360" w:lineRule="auto"/>
              <w:textAlignment w:val="auto"/>
              <w:rPr>
                <w:rFonts w:hint="eastAsia" w:ascii="宋体" w:hAnsi="宋体" w:eastAsia="宋体" w:cs="宋体"/>
                <w:bCs/>
                <w:color w:val="auto"/>
                <w:kern w:val="2"/>
                <w:sz w:val="21"/>
                <w:szCs w:val="21"/>
                <w:highlight w:val="none"/>
              </w:rPr>
            </w:pPr>
            <w:r>
              <w:rPr>
                <w:rFonts w:hint="eastAsia" w:ascii="宋体" w:hAnsi="宋体" w:eastAsia="宋体" w:cs="宋体"/>
                <w:bCs/>
                <w:color w:val="auto"/>
                <w:kern w:val="2"/>
                <w:sz w:val="21"/>
                <w:szCs w:val="21"/>
                <w:highlight w:val="none"/>
              </w:rPr>
              <w:t>无纺布包装灭菌</w:t>
            </w:r>
          </w:p>
        </w:tc>
        <w:tc>
          <w:tcPr>
            <w:tcW w:w="3273" w:type="dxa"/>
            <w:noWrap w:val="0"/>
            <w:vAlign w:val="center"/>
          </w:tcPr>
          <w:p w14:paraId="3015989E">
            <w:pPr>
              <w:keepNext w:val="0"/>
              <w:keepLines w:val="0"/>
              <w:pageBreakBefore w:val="0"/>
              <w:widowControl w:val="0"/>
              <w:kinsoku/>
              <w:wordWrap/>
              <w:overflowPunct/>
              <w:topLinePunct w:val="0"/>
              <w:autoSpaceDE/>
              <w:autoSpaceDN/>
              <w:bidi w:val="0"/>
              <w:adjustRightInd/>
              <w:snapToGrid/>
              <w:spacing w:line="360" w:lineRule="auto"/>
              <w:textAlignment w:val="auto"/>
              <w:rPr>
                <w:rFonts w:hint="eastAsia" w:ascii="宋体" w:hAnsi="宋体" w:eastAsia="宋体" w:cs="宋体"/>
                <w:bCs/>
                <w:color w:val="auto"/>
                <w:kern w:val="2"/>
                <w:sz w:val="21"/>
                <w:szCs w:val="21"/>
                <w:highlight w:val="none"/>
              </w:rPr>
            </w:pPr>
            <w:r>
              <w:rPr>
                <w:rFonts w:hint="eastAsia" w:ascii="宋体" w:hAnsi="宋体" w:eastAsia="宋体" w:cs="宋体"/>
                <w:color w:val="auto"/>
                <w:kern w:val="2"/>
                <w:sz w:val="21"/>
                <w:szCs w:val="21"/>
                <w:highlight w:val="none"/>
              </w:rPr>
              <w:t>敷料包按照标准包计费，2.37kg≤单包重量≤</w:t>
            </w:r>
            <w:r>
              <w:rPr>
                <w:rFonts w:hint="eastAsia" w:ascii="宋体" w:hAnsi="宋体" w:eastAsia="宋体" w:cs="宋体"/>
                <w:color w:val="auto"/>
                <w:kern w:val="2"/>
                <w:sz w:val="21"/>
                <w:szCs w:val="21"/>
                <w:highlight w:val="none"/>
                <w:lang w:val="en-US" w:eastAsia="zh-CN"/>
              </w:rPr>
              <w:t>5</w:t>
            </w:r>
            <w:r>
              <w:rPr>
                <w:rFonts w:hint="eastAsia" w:ascii="宋体" w:hAnsi="宋体" w:eastAsia="宋体" w:cs="宋体"/>
                <w:color w:val="auto"/>
                <w:kern w:val="2"/>
                <w:sz w:val="21"/>
                <w:szCs w:val="21"/>
                <w:highlight w:val="none"/>
              </w:rPr>
              <w:t>kg，超出按分包计</w:t>
            </w:r>
          </w:p>
        </w:tc>
      </w:tr>
      <w:tr w14:paraId="57380A3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8" w:hRule="atLeast"/>
          <w:jc w:val="center"/>
        </w:trPr>
        <w:tc>
          <w:tcPr>
            <w:tcW w:w="670" w:type="dxa"/>
            <w:noWrap w:val="0"/>
            <w:vAlign w:val="center"/>
          </w:tcPr>
          <w:p w14:paraId="343278EA">
            <w:pPr>
              <w:keepNext w:val="0"/>
              <w:keepLines w:val="0"/>
              <w:pageBreakBefore w:val="0"/>
              <w:widowControl w:val="0"/>
              <w:numPr>
                <w:ilvl w:val="0"/>
                <w:numId w:val="1"/>
              </w:numPr>
              <w:kinsoku/>
              <w:wordWrap/>
              <w:overflowPunct/>
              <w:topLinePunct w:val="0"/>
              <w:autoSpaceDE/>
              <w:autoSpaceDN/>
              <w:bidi w:val="0"/>
              <w:adjustRightInd/>
              <w:snapToGrid/>
              <w:spacing w:line="360" w:lineRule="auto"/>
              <w:jc w:val="center"/>
              <w:textAlignment w:val="auto"/>
              <w:rPr>
                <w:rFonts w:hint="eastAsia" w:ascii="宋体" w:hAnsi="宋体" w:eastAsia="宋体" w:cs="宋体"/>
                <w:color w:val="auto"/>
                <w:kern w:val="2"/>
                <w:sz w:val="21"/>
                <w:szCs w:val="21"/>
                <w:highlight w:val="none"/>
                <w:lang w:val="en-US" w:eastAsia="zh-CN"/>
              </w:rPr>
            </w:pPr>
            <w:r>
              <w:rPr>
                <w:rFonts w:hint="eastAsia" w:ascii="宋体" w:hAnsi="宋体" w:eastAsia="宋体" w:cs="宋体"/>
                <w:color w:val="auto"/>
                <w:kern w:val="2"/>
                <w:sz w:val="21"/>
                <w:szCs w:val="21"/>
                <w:highlight w:val="none"/>
                <w:lang w:val="en-US" w:eastAsia="zh-CN"/>
              </w:rPr>
              <w:t>二</w:t>
            </w:r>
          </w:p>
        </w:tc>
        <w:tc>
          <w:tcPr>
            <w:tcW w:w="9353" w:type="dxa"/>
            <w:gridSpan w:val="4"/>
            <w:noWrap w:val="0"/>
            <w:vAlign w:val="center"/>
          </w:tcPr>
          <w:p w14:paraId="32DBAB6C">
            <w:pPr>
              <w:keepNext w:val="0"/>
              <w:keepLines w:val="0"/>
              <w:pageBreakBefore w:val="0"/>
              <w:widowControl w:val="0"/>
              <w:kinsoku/>
              <w:wordWrap/>
              <w:overflowPunct/>
              <w:topLinePunct w:val="0"/>
              <w:autoSpaceDE/>
              <w:autoSpaceDN/>
              <w:bidi w:val="0"/>
              <w:adjustRightInd/>
              <w:snapToGrid/>
              <w:spacing w:line="360" w:lineRule="auto"/>
              <w:textAlignment w:val="auto"/>
              <w:rPr>
                <w:rFonts w:hint="eastAsia" w:ascii="宋体" w:hAnsi="宋体" w:eastAsia="宋体" w:cs="宋体"/>
                <w:bCs/>
                <w:color w:val="auto"/>
                <w:kern w:val="2"/>
                <w:sz w:val="21"/>
                <w:szCs w:val="21"/>
                <w:highlight w:val="none"/>
              </w:rPr>
            </w:pPr>
            <w:r>
              <w:rPr>
                <w:rFonts w:hint="eastAsia" w:ascii="宋体" w:hAnsi="宋体" w:eastAsia="宋体" w:cs="宋体"/>
                <w:bCs/>
                <w:color w:val="auto"/>
                <w:kern w:val="2"/>
                <w:sz w:val="21"/>
                <w:szCs w:val="21"/>
                <w:highlight w:val="none"/>
              </w:rPr>
              <w:t>高水平消毒</w:t>
            </w:r>
          </w:p>
        </w:tc>
      </w:tr>
      <w:tr w14:paraId="11F4861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0" w:hRule="atLeast"/>
          <w:jc w:val="center"/>
        </w:trPr>
        <w:tc>
          <w:tcPr>
            <w:tcW w:w="670" w:type="dxa"/>
            <w:noWrap w:val="0"/>
            <w:vAlign w:val="center"/>
          </w:tcPr>
          <w:p w14:paraId="67778085">
            <w:pPr>
              <w:keepNext w:val="0"/>
              <w:keepLines w:val="0"/>
              <w:pageBreakBefore w:val="0"/>
              <w:widowControl w:val="0"/>
              <w:numPr>
                <w:ilvl w:val="0"/>
                <w:numId w:val="3"/>
              </w:numPr>
              <w:kinsoku/>
              <w:wordWrap/>
              <w:overflowPunct/>
              <w:topLinePunct w:val="0"/>
              <w:autoSpaceDE/>
              <w:autoSpaceDN/>
              <w:bidi w:val="0"/>
              <w:adjustRightInd/>
              <w:snapToGrid/>
              <w:spacing w:line="360" w:lineRule="auto"/>
              <w:jc w:val="center"/>
              <w:textAlignment w:val="auto"/>
              <w:rPr>
                <w:rFonts w:hint="eastAsia" w:ascii="宋体" w:hAnsi="宋体" w:eastAsia="宋体" w:cs="宋体"/>
                <w:color w:val="auto"/>
                <w:kern w:val="2"/>
                <w:sz w:val="21"/>
                <w:szCs w:val="21"/>
                <w:highlight w:val="none"/>
              </w:rPr>
            </w:pPr>
          </w:p>
        </w:tc>
        <w:tc>
          <w:tcPr>
            <w:tcW w:w="2820" w:type="dxa"/>
            <w:noWrap w:val="0"/>
            <w:vAlign w:val="center"/>
          </w:tcPr>
          <w:p w14:paraId="49529DFB">
            <w:pPr>
              <w:keepNext w:val="0"/>
              <w:keepLines w:val="0"/>
              <w:pageBreakBefore w:val="0"/>
              <w:widowControl w:val="0"/>
              <w:kinsoku/>
              <w:wordWrap/>
              <w:overflowPunct/>
              <w:topLinePunct w:val="0"/>
              <w:autoSpaceDE/>
              <w:autoSpaceDN/>
              <w:bidi w:val="0"/>
              <w:adjustRightInd/>
              <w:snapToGrid/>
              <w:spacing w:line="360" w:lineRule="auto"/>
              <w:textAlignment w:val="auto"/>
              <w:rPr>
                <w:rFonts w:hint="eastAsia" w:ascii="宋体" w:hAnsi="宋体" w:eastAsia="宋体" w:cs="宋体"/>
                <w:bCs/>
                <w:color w:val="auto"/>
                <w:kern w:val="2"/>
                <w:sz w:val="21"/>
                <w:szCs w:val="21"/>
                <w:highlight w:val="none"/>
              </w:rPr>
            </w:pPr>
            <w:r>
              <w:rPr>
                <w:rFonts w:hint="eastAsia" w:ascii="宋体" w:hAnsi="宋体" w:eastAsia="宋体" w:cs="宋体"/>
                <w:bCs/>
                <w:color w:val="auto"/>
                <w:kern w:val="2"/>
                <w:sz w:val="21"/>
                <w:szCs w:val="21"/>
                <w:highlight w:val="none"/>
              </w:rPr>
              <w:t>湿化瓶、湿化罐、呼吸机、麻醉机管道等</w:t>
            </w:r>
          </w:p>
        </w:tc>
        <w:tc>
          <w:tcPr>
            <w:tcW w:w="1539" w:type="dxa"/>
            <w:noWrap w:val="0"/>
            <w:vAlign w:val="center"/>
          </w:tcPr>
          <w:p w14:paraId="0A7DC849">
            <w:pPr>
              <w:keepNext w:val="0"/>
              <w:keepLines w:val="0"/>
              <w:pageBreakBefore w:val="0"/>
              <w:widowControl w:val="0"/>
              <w:kinsoku/>
              <w:wordWrap/>
              <w:overflowPunct/>
              <w:topLinePunct w:val="0"/>
              <w:autoSpaceDE/>
              <w:autoSpaceDN/>
              <w:bidi w:val="0"/>
              <w:adjustRightInd/>
              <w:snapToGrid/>
              <w:spacing w:line="360" w:lineRule="auto"/>
              <w:jc w:val="center"/>
              <w:textAlignment w:val="auto"/>
              <w:rPr>
                <w:rFonts w:hint="eastAsia" w:ascii="宋体" w:hAnsi="宋体" w:eastAsia="宋体" w:cs="宋体"/>
                <w:bCs/>
                <w:color w:val="auto"/>
                <w:kern w:val="2"/>
                <w:sz w:val="21"/>
                <w:szCs w:val="21"/>
                <w:highlight w:val="none"/>
              </w:rPr>
            </w:pPr>
            <w:r>
              <w:rPr>
                <w:rFonts w:hint="eastAsia" w:ascii="宋体" w:hAnsi="宋体" w:eastAsia="宋体" w:cs="宋体"/>
                <w:bCs/>
                <w:color w:val="auto"/>
                <w:kern w:val="2"/>
                <w:sz w:val="21"/>
                <w:szCs w:val="21"/>
                <w:highlight w:val="none"/>
              </w:rPr>
              <w:t>元/个</w:t>
            </w:r>
          </w:p>
        </w:tc>
        <w:tc>
          <w:tcPr>
            <w:tcW w:w="1721" w:type="dxa"/>
            <w:noWrap w:val="0"/>
            <w:vAlign w:val="center"/>
          </w:tcPr>
          <w:p w14:paraId="44FF03AE">
            <w:pPr>
              <w:keepNext w:val="0"/>
              <w:keepLines w:val="0"/>
              <w:pageBreakBefore w:val="0"/>
              <w:widowControl w:val="0"/>
              <w:kinsoku/>
              <w:wordWrap/>
              <w:overflowPunct/>
              <w:topLinePunct w:val="0"/>
              <w:autoSpaceDE/>
              <w:autoSpaceDN/>
              <w:bidi w:val="0"/>
              <w:adjustRightInd/>
              <w:snapToGrid/>
              <w:spacing w:line="360" w:lineRule="auto"/>
              <w:textAlignment w:val="auto"/>
              <w:rPr>
                <w:rFonts w:hint="eastAsia" w:ascii="宋体" w:hAnsi="宋体" w:eastAsia="宋体" w:cs="宋体"/>
                <w:bCs/>
                <w:color w:val="auto"/>
                <w:kern w:val="2"/>
                <w:sz w:val="21"/>
                <w:szCs w:val="21"/>
                <w:highlight w:val="none"/>
              </w:rPr>
            </w:pPr>
            <w:r>
              <w:rPr>
                <w:rFonts w:hint="eastAsia" w:ascii="宋体" w:hAnsi="宋体" w:eastAsia="宋体" w:cs="宋体"/>
                <w:bCs/>
                <w:color w:val="auto"/>
                <w:kern w:val="2"/>
                <w:sz w:val="21"/>
                <w:szCs w:val="21"/>
                <w:highlight w:val="none"/>
              </w:rPr>
              <w:t>清洗消毒</w:t>
            </w:r>
          </w:p>
        </w:tc>
        <w:tc>
          <w:tcPr>
            <w:tcW w:w="3273" w:type="dxa"/>
            <w:noWrap w:val="0"/>
            <w:vAlign w:val="center"/>
          </w:tcPr>
          <w:p w14:paraId="64C2EAAE">
            <w:pPr>
              <w:keepNext w:val="0"/>
              <w:keepLines w:val="0"/>
              <w:pageBreakBefore w:val="0"/>
              <w:widowControl w:val="0"/>
              <w:kinsoku/>
              <w:wordWrap/>
              <w:overflowPunct/>
              <w:topLinePunct w:val="0"/>
              <w:autoSpaceDE/>
              <w:autoSpaceDN/>
              <w:bidi w:val="0"/>
              <w:adjustRightInd/>
              <w:snapToGrid/>
              <w:spacing w:line="360" w:lineRule="auto"/>
              <w:jc w:val="center"/>
              <w:textAlignment w:val="auto"/>
              <w:rPr>
                <w:rFonts w:hint="eastAsia" w:ascii="宋体" w:hAnsi="宋体" w:eastAsia="宋体" w:cs="宋体"/>
                <w:bCs/>
                <w:color w:val="auto"/>
                <w:kern w:val="2"/>
                <w:sz w:val="21"/>
                <w:szCs w:val="21"/>
                <w:highlight w:val="none"/>
              </w:rPr>
            </w:pPr>
            <w:r>
              <w:rPr>
                <w:rFonts w:hint="eastAsia" w:ascii="宋体" w:hAnsi="宋体" w:eastAsia="宋体" w:cs="宋体"/>
                <w:bCs/>
                <w:color w:val="auto"/>
                <w:kern w:val="2"/>
                <w:sz w:val="21"/>
                <w:szCs w:val="21"/>
                <w:highlight w:val="none"/>
              </w:rPr>
              <w:t>/</w:t>
            </w:r>
          </w:p>
        </w:tc>
      </w:tr>
      <w:tr w14:paraId="3F11364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9" w:hRule="atLeast"/>
          <w:jc w:val="center"/>
        </w:trPr>
        <w:tc>
          <w:tcPr>
            <w:tcW w:w="670" w:type="dxa"/>
            <w:noWrap w:val="0"/>
            <w:vAlign w:val="center"/>
          </w:tcPr>
          <w:p w14:paraId="484C63E2">
            <w:pPr>
              <w:keepNext w:val="0"/>
              <w:keepLines w:val="0"/>
              <w:pageBreakBefore w:val="0"/>
              <w:widowControl w:val="0"/>
              <w:numPr>
                <w:ilvl w:val="0"/>
                <w:numId w:val="3"/>
              </w:numPr>
              <w:kinsoku/>
              <w:wordWrap/>
              <w:overflowPunct/>
              <w:topLinePunct w:val="0"/>
              <w:autoSpaceDE/>
              <w:autoSpaceDN/>
              <w:bidi w:val="0"/>
              <w:adjustRightInd/>
              <w:snapToGrid/>
              <w:spacing w:line="360" w:lineRule="auto"/>
              <w:jc w:val="both"/>
              <w:textAlignment w:val="auto"/>
              <w:rPr>
                <w:rFonts w:hint="eastAsia" w:ascii="宋体" w:hAnsi="宋体" w:eastAsia="宋体" w:cs="宋体"/>
                <w:color w:val="auto"/>
                <w:kern w:val="2"/>
                <w:sz w:val="21"/>
                <w:szCs w:val="21"/>
                <w:highlight w:val="none"/>
              </w:rPr>
            </w:pPr>
          </w:p>
        </w:tc>
        <w:tc>
          <w:tcPr>
            <w:tcW w:w="2820" w:type="dxa"/>
            <w:noWrap w:val="0"/>
            <w:vAlign w:val="center"/>
          </w:tcPr>
          <w:p w14:paraId="4B373952">
            <w:pPr>
              <w:keepNext w:val="0"/>
              <w:keepLines w:val="0"/>
              <w:pageBreakBefore w:val="0"/>
              <w:widowControl w:val="0"/>
              <w:kinsoku/>
              <w:wordWrap/>
              <w:overflowPunct/>
              <w:topLinePunct w:val="0"/>
              <w:autoSpaceDE/>
              <w:autoSpaceDN/>
              <w:bidi w:val="0"/>
              <w:adjustRightInd/>
              <w:snapToGrid/>
              <w:spacing w:line="360" w:lineRule="auto"/>
              <w:textAlignment w:val="auto"/>
              <w:rPr>
                <w:rFonts w:hint="eastAsia" w:ascii="宋体" w:hAnsi="宋体" w:eastAsia="宋体" w:cs="宋体"/>
                <w:bCs/>
                <w:color w:val="auto"/>
                <w:kern w:val="2"/>
                <w:sz w:val="21"/>
                <w:szCs w:val="21"/>
                <w:highlight w:val="none"/>
              </w:rPr>
            </w:pPr>
            <w:r>
              <w:rPr>
                <w:rFonts w:hint="eastAsia" w:ascii="宋体" w:hAnsi="宋体" w:eastAsia="宋体" w:cs="宋体"/>
                <w:bCs/>
                <w:color w:val="auto"/>
                <w:kern w:val="2"/>
                <w:sz w:val="21"/>
                <w:szCs w:val="21"/>
                <w:highlight w:val="none"/>
              </w:rPr>
              <w:t>压脉带</w:t>
            </w:r>
          </w:p>
        </w:tc>
        <w:tc>
          <w:tcPr>
            <w:tcW w:w="1539" w:type="dxa"/>
            <w:noWrap w:val="0"/>
            <w:vAlign w:val="center"/>
          </w:tcPr>
          <w:p w14:paraId="66EE9905">
            <w:pPr>
              <w:keepNext w:val="0"/>
              <w:keepLines w:val="0"/>
              <w:pageBreakBefore w:val="0"/>
              <w:widowControl w:val="0"/>
              <w:kinsoku/>
              <w:wordWrap/>
              <w:overflowPunct/>
              <w:topLinePunct w:val="0"/>
              <w:autoSpaceDE/>
              <w:autoSpaceDN/>
              <w:bidi w:val="0"/>
              <w:adjustRightInd/>
              <w:snapToGrid/>
              <w:spacing w:line="360" w:lineRule="auto"/>
              <w:jc w:val="center"/>
              <w:textAlignment w:val="auto"/>
              <w:rPr>
                <w:rFonts w:hint="eastAsia" w:ascii="宋体" w:hAnsi="宋体" w:eastAsia="宋体" w:cs="宋体"/>
                <w:bCs/>
                <w:color w:val="auto"/>
                <w:kern w:val="2"/>
                <w:sz w:val="21"/>
                <w:szCs w:val="21"/>
                <w:highlight w:val="none"/>
              </w:rPr>
            </w:pPr>
            <w:r>
              <w:rPr>
                <w:rFonts w:hint="eastAsia" w:ascii="宋体" w:hAnsi="宋体" w:eastAsia="宋体" w:cs="宋体"/>
                <w:bCs/>
                <w:color w:val="auto"/>
                <w:kern w:val="2"/>
                <w:sz w:val="21"/>
                <w:szCs w:val="21"/>
                <w:highlight w:val="none"/>
              </w:rPr>
              <w:t>元/根</w:t>
            </w:r>
          </w:p>
        </w:tc>
        <w:tc>
          <w:tcPr>
            <w:tcW w:w="1721" w:type="dxa"/>
            <w:noWrap w:val="0"/>
            <w:vAlign w:val="center"/>
          </w:tcPr>
          <w:p w14:paraId="3D1D2664">
            <w:pPr>
              <w:keepNext w:val="0"/>
              <w:keepLines w:val="0"/>
              <w:pageBreakBefore w:val="0"/>
              <w:widowControl w:val="0"/>
              <w:kinsoku/>
              <w:wordWrap/>
              <w:overflowPunct/>
              <w:topLinePunct w:val="0"/>
              <w:autoSpaceDE/>
              <w:autoSpaceDN/>
              <w:bidi w:val="0"/>
              <w:adjustRightInd/>
              <w:snapToGrid/>
              <w:spacing w:line="360" w:lineRule="auto"/>
              <w:textAlignment w:val="auto"/>
              <w:rPr>
                <w:rFonts w:hint="eastAsia" w:ascii="宋体" w:hAnsi="宋体" w:eastAsia="宋体" w:cs="宋体"/>
                <w:bCs/>
                <w:color w:val="auto"/>
                <w:kern w:val="2"/>
                <w:sz w:val="21"/>
                <w:szCs w:val="21"/>
                <w:highlight w:val="none"/>
              </w:rPr>
            </w:pPr>
            <w:r>
              <w:rPr>
                <w:rFonts w:hint="eastAsia" w:ascii="宋体" w:hAnsi="宋体" w:eastAsia="宋体" w:cs="宋体"/>
                <w:bCs/>
                <w:color w:val="auto"/>
                <w:kern w:val="2"/>
                <w:sz w:val="21"/>
                <w:szCs w:val="21"/>
                <w:highlight w:val="none"/>
              </w:rPr>
              <w:t>清洗消毒</w:t>
            </w:r>
          </w:p>
        </w:tc>
        <w:tc>
          <w:tcPr>
            <w:tcW w:w="3273" w:type="dxa"/>
            <w:noWrap w:val="0"/>
            <w:vAlign w:val="center"/>
          </w:tcPr>
          <w:p w14:paraId="693E75BA">
            <w:pPr>
              <w:keepNext w:val="0"/>
              <w:keepLines w:val="0"/>
              <w:pageBreakBefore w:val="0"/>
              <w:widowControl w:val="0"/>
              <w:kinsoku/>
              <w:wordWrap/>
              <w:overflowPunct/>
              <w:topLinePunct w:val="0"/>
              <w:autoSpaceDE/>
              <w:autoSpaceDN/>
              <w:bidi w:val="0"/>
              <w:adjustRightInd/>
              <w:snapToGrid/>
              <w:spacing w:line="360" w:lineRule="auto"/>
              <w:jc w:val="center"/>
              <w:textAlignment w:val="auto"/>
              <w:rPr>
                <w:rFonts w:hint="eastAsia" w:ascii="宋体" w:hAnsi="宋体" w:eastAsia="宋体" w:cs="宋体"/>
                <w:bCs/>
                <w:color w:val="auto"/>
                <w:kern w:val="2"/>
                <w:sz w:val="21"/>
                <w:szCs w:val="21"/>
                <w:highlight w:val="none"/>
              </w:rPr>
            </w:pPr>
            <w:r>
              <w:rPr>
                <w:rFonts w:hint="eastAsia" w:ascii="宋体" w:hAnsi="宋体" w:eastAsia="宋体" w:cs="宋体"/>
                <w:bCs/>
                <w:color w:val="auto"/>
                <w:kern w:val="2"/>
                <w:sz w:val="21"/>
                <w:szCs w:val="21"/>
                <w:highlight w:val="none"/>
              </w:rPr>
              <w:t>/</w:t>
            </w:r>
          </w:p>
        </w:tc>
      </w:tr>
      <w:tr w14:paraId="3533A77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9" w:hRule="atLeast"/>
          <w:jc w:val="center"/>
        </w:trPr>
        <w:tc>
          <w:tcPr>
            <w:tcW w:w="670" w:type="dxa"/>
            <w:noWrap w:val="0"/>
            <w:vAlign w:val="center"/>
          </w:tcPr>
          <w:p w14:paraId="366CB2A8">
            <w:pPr>
              <w:keepNext w:val="0"/>
              <w:keepLines w:val="0"/>
              <w:pageBreakBefore w:val="0"/>
              <w:widowControl w:val="0"/>
              <w:numPr>
                <w:ilvl w:val="0"/>
                <w:numId w:val="1"/>
              </w:numPr>
              <w:kinsoku/>
              <w:wordWrap/>
              <w:overflowPunct/>
              <w:topLinePunct w:val="0"/>
              <w:autoSpaceDE/>
              <w:autoSpaceDN/>
              <w:bidi w:val="0"/>
              <w:adjustRightInd/>
              <w:snapToGrid/>
              <w:spacing w:line="360" w:lineRule="auto"/>
              <w:ind w:left="420" w:leftChars="0" w:hanging="420" w:firstLineChars="0"/>
              <w:jc w:val="center"/>
              <w:textAlignment w:val="auto"/>
              <w:rPr>
                <w:rFonts w:hint="eastAsia" w:ascii="宋体" w:hAnsi="宋体" w:eastAsia="宋体" w:cs="宋体"/>
                <w:color w:val="auto"/>
                <w:kern w:val="2"/>
                <w:sz w:val="21"/>
                <w:szCs w:val="21"/>
                <w:highlight w:val="none"/>
                <w:lang w:val="en-US" w:eastAsia="zh-CN" w:bidi="ar-SA"/>
              </w:rPr>
            </w:pPr>
          </w:p>
        </w:tc>
        <w:tc>
          <w:tcPr>
            <w:tcW w:w="9353" w:type="dxa"/>
            <w:gridSpan w:val="4"/>
            <w:noWrap w:val="0"/>
            <w:vAlign w:val="center"/>
          </w:tcPr>
          <w:p w14:paraId="049553BE">
            <w:pPr>
              <w:keepNext w:val="0"/>
              <w:keepLines w:val="0"/>
              <w:pageBreakBefore w:val="0"/>
              <w:widowControl w:val="0"/>
              <w:kinsoku/>
              <w:wordWrap/>
              <w:overflowPunct/>
              <w:topLinePunct w:val="0"/>
              <w:autoSpaceDE/>
              <w:autoSpaceDN/>
              <w:bidi w:val="0"/>
              <w:adjustRightInd/>
              <w:snapToGrid/>
              <w:spacing w:line="360" w:lineRule="auto"/>
              <w:jc w:val="both"/>
              <w:textAlignment w:val="auto"/>
              <w:rPr>
                <w:rFonts w:hint="eastAsia" w:ascii="宋体" w:hAnsi="宋体" w:eastAsia="宋体" w:cs="宋体"/>
                <w:bCs/>
                <w:color w:val="auto"/>
                <w:kern w:val="2"/>
                <w:sz w:val="21"/>
                <w:szCs w:val="21"/>
                <w:highlight w:val="none"/>
                <w:lang w:val="en-US" w:eastAsia="zh-CN"/>
              </w:rPr>
            </w:pPr>
            <w:r>
              <w:rPr>
                <w:rFonts w:hint="eastAsia" w:ascii="宋体" w:hAnsi="宋体" w:eastAsia="宋体" w:cs="宋体"/>
                <w:bCs/>
                <w:color w:val="auto"/>
                <w:kern w:val="2"/>
                <w:sz w:val="21"/>
                <w:szCs w:val="21"/>
                <w:highlight w:val="none"/>
                <w:lang w:val="en-US" w:eastAsia="zh-CN"/>
              </w:rPr>
              <w:t>外来器械包消毒服务费用，即外送“人工关节”、“骨科创伤”“骨科脊柱类”等集采租赁器械（广东省医保局公布为准）</w:t>
            </w:r>
            <w:r>
              <w:rPr>
                <w:rFonts w:hint="eastAsia" w:hAnsi="宋体" w:cs="宋体"/>
                <w:bCs/>
                <w:color w:val="auto"/>
                <w:kern w:val="2"/>
                <w:sz w:val="21"/>
                <w:szCs w:val="21"/>
                <w:highlight w:val="none"/>
                <w:lang w:val="en-US" w:eastAsia="zh-CN"/>
              </w:rPr>
              <w:t>，</w:t>
            </w:r>
            <w:r>
              <w:rPr>
                <w:rFonts w:hint="eastAsia" w:ascii="宋体" w:hAnsi="宋体" w:eastAsia="宋体" w:cs="宋体"/>
                <w:bCs/>
                <w:color w:val="auto"/>
                <w:kern w:val="2"/>
                <w:sz w:val="21"/>
                <w:szCs w:val="21"/>
                <w:highlight w:val="none"/>
                <w:lang w:val="en-US" w:eastAsia="zh-CN"/>
              </w:rPr>
              <w:t>标准包单包重量≤7kg，超过按分包计</w:t>
            </w:r>
          </w:p>
        </w:tc>
      </w:tr>
      <w:tr w14:paraId="49961DE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9" w:hRule="atLeast"/>
          <w:jc w:val="center"/>
        </w:trPr>
        <w:tc>
          <w:tcPr>
            <w:tcW w:w="670" w:type="dxa"/>
            <w:vMerge w:val="restart"/>
            <w:noWrap w:val="0"/>
            <w:vAlign w:val="center"/>
          </w:tcPr>
          <w:p w14:paraId="309C2FCB">
            <w:pPr>
              <w:keepNext w:val="0"/>
              <w:keepLines w:val="0"/>
              <w:pageBreakBefore w:val="0"/>
              <w:widowControl w:val="0"/>
              <w:numPr>
                <w:ilvl w:val="0"/>
                <w:numId w:val="0"/>
              </w:numPr>
              <w:kinsoku/>
              <w:wordWrap/>
              <w:overflowPunct/>
              <w:topLinePunct w:val="0"/>
              <w:autoSpaceDE/>
              <w:autoSpaceDN/>
              <w:bidi w:val="0"/>
              <w:adjustRightInd/>
              <w:snapToGrid/>
              <w:spacing w:line="360" w:lineRule="auto"/>
              <w:ind w:leftChars="0"/>
              <w:jc w:val="center"/>
              <w:textAlignment w:val="auto"/>
              <w:rPr>
                <w:rFonts w:hint="eastAsia" w:ascii="宋体" w:hAnsi="宋体" w:eastAsia="宋体" w:cs="宋体"/>
                <w:color w:val="auto"/>
                <w:kern w:val="2"/>
                <w:sz w:val="21"/>
                <w:szCs w:val="21"/>
                <w:highlight w:val="none"/>
                <w:lang w:val="en-US" w:eastAsia="zh-CN" w:bidi="ar-SA"/>
              </w:rPr>
            </w:pPr>
            <w:r>
              <w:rPr>
                <w:rFonts w:hint="eastAsia" w:ascii="宋体" w:hAnsi="宋体" w:eastAsia="宋体" w:cs="宋体"/>
                <w:color w:val="auto"/>
                <w:kern w:val="2"/>
                <w:sz w:val="21"/>
                <w:szCs w:val="21"/>
                <w:highlight w:val="none"/>
                <w:lang w:val="en-US" w:eastAsia="zh-CN"/>
              </w:rPr>
              <w:t>1.</w:t>
            </w:r>
          </w:p>
        </w:tc>
        <w:tc>
          <w:tcPr>
            <w:tcW w:w="2820" w:type="dxa"/>
            <w:vMerge w:val="restart"/>
            <w:noWrap w:val="0"/>
            <w:vAlign w:val="center"/>
          </w:tcPr>
          <w:p w14:paraId="5FA05B8F">
            <w:pPr>
              <w:keepNext w:val="0"/>
              <w:keepLines w:val="0"/>
              <w:pageBreakBefore w:val="0"/>
              <w:widowControl w:val="0"/>
              <w:kinsoku/>
              <w:wordWrap/>
              <w:overflowPunct/>
              <w:topLinePunct w:val="0"/>
              <w:autoSpaceDE/>
              <w:autoSpaceDN/>
              <w:bidi w:val="0"/>
              <w:adjustRightInd/>
              <w:snapToGrid/>
              <w:spacing w:line="360" w:lineRule="auto"/>
              <w:jc w:val="center"/>
              <w:textAlignment w:val="auto"/>
              <w:rPr>
                <w:rFonts w:hint="eastAsia" w:ascii="宋体" w:hAnsi="宋体" w:eastAsia="宋体" w:cs="宋体"/>
                <w:color w:val="auto"/>
                <w:kern w:val="2"/>
                <w:sz w:val="21"/>
                <w:szCs w:val="21"/>
                <w:highlight w:val="none"/>
                <w:lang w:val="en-US" w:eastAsia="zh-CN"/>
              </w:rPr>
            </w:pPr>
            <w:r>
              <w:rPr>
                <w:rFonts w:hint="eastAsia" w:ascii="宋体" w:hAnsi="宋体" w:eastAsia="宋体" w:cs="宋体"/>
                <w:color w:val="auto"/>
                <w:kern w:val="2"/>
                <w:sz w:val="21"/>
                <w:szCs w:val="21"/>
                <w:highlight w:val="none"/>
                <w:lang w:val="en-US" w:eastAsia="zh-CN"/>
              </w:rPr>
              <w:t>外来器械包</w:t>
            </w:r>
          </w:p>
        </w:tc>
        <w:tc>
          <w:tcPr>
            <w:tcW w:w="1539" w:type="dxa"/>
            <w:noWrap w:val="0"/>
            <w:vAlign w:val="center"/>
          </w:tcPr>
          <w:p w14:paraId="40CB4FCA">
            <w:pPr>
              <w:keepNext w:val="0"/>
              <w:keepLines w:val="0"/>
              <w:pageBreakBefore w:val="0"/>
              <w:widowControl w:val="0"/>
              <w:kinsoku/>
              <w:wordWrap/>
              <w:overflowPunct/>
              <w:topLinePunct w:val="0"/>
              <w:autoSpaceDE/>
              <w:autoSpaceDN/>
              <w:bidi w:val="0"/>
              <w:adjustRightInd/>
              <w:snapToGrid/>
              <w:spacing w:line="360" w:lineRule="auto"/>
              <w:jc w:val="center"/>
              <w:textAlignment w:val="auto"/>
              <w:rPr>
                <w:rFonts w:hint="eastAsia" w:ascii="宋体" w:hAnsi="宋体" w:eastAsia="宋体" w:cs="宋体"/>
                <w:color w:val="auto"/>
                <w:kern w:val="2"/>
                <w:sz w:val="21"/>
                <w:szCs w:val="21"/>
                <w:highlight w:val="none"/>
                <w:lang w:val="en-US" w:eastAsia="zh-CN"/>
              </w:rPr>
            </w:pPr>
            <w:r>
              <w:rPr>
                <w:rFonts w:hint="eastAsia" w:ascii="宋体" w:hAnsi="宋体" w:eastAsia="宋体" w:cs="宋体"/>
                <w:color w:val="auto"/>
                <w:kern w:val="2"/>
                <w:sz w:val="21"/>
                <w:szCs w:val="21"/>
                <w:highlight w:val="none"/>
                <w:lang w:val="en-US" w:eastAsia="zh-CN"/>
              </w:rPr>
              <w:t>元/包</w:t>
            </w:r>
          </w:p>
        </w:tc>
        <w:tc>
          <w:tcPr>
            <w:tcW w:w="1721" w:type="dxa"/>
            <w:noWrap w:val="0"/>
            <w:vAlign w:val="center"/>
          </w:tcPr>
          <w:p w14:paraId="7159B644">
            <w:pPr>
              <w:keepNext w:val="0"/>
              <w:keepLines w:val="0"/>
              <w:pageBreakBefore w:val="0"/>
              <w:widowControl w:val="0"/>
              <w:kinsoku/>
              <w:wordWrap/>
              <w:overflowPunct/>
              <w:topLinePunct w:val="0"/>
              <w:autoSpaceDE/>
              <w:autoSpaceDN/>
              <w:bidi w:val="0"/>
              <w:adjustRightInd/>
              <w:snapToGrid/>
              <w:spacing w:line="360" w:lineRule="auto"/>
              <w:jc w:val="center"/>
              <w:textAlignment w:val="auto"/>
              <w:rPr>
                <w:rFonts w:hint="eastAsia" w:ascii="宋体" w:hAnsi="宋体" w:eastAsia="宋体" w:cs="宋体"/>
                <w:color w:val="auto"/>
                <w:kern w:val="2"/>
                <w:sz w:val="21"/>
                <w:szCs w:val="21"/>
                <w:highlight w:val="none"/>
                <w:lang w:val="en-US" w:eastAsia="zh-CN"/>
              </w:rPr>
            </w:pPr>
            <w:r>
              <w:rPr>
                <w:rFonts w:hint="eastAsia" w:ascii="宋体" w:hAnsi="宋体" w:eastAsia="宋体" w:cs="宋体"/>
                <w:bCs/>
                <w:color w:val="auto"/>
                <w:kern w:val="2"/>
                <w:sz w:val="21"/>
                <w:szCs w:val="21"/>
                <w:highlight w:val="none"/>
              </w:rPr>
              <w:t>清洗消毒灭菌</w:t>
            </w:r>
          </w:p>
        </w:tc>
        <w:tc>
          <w:tcPr>
            <w:tcW w:w="3273" w:type="dxa"/>
            <w:noWrap w:val="0"/>
            <w:vAlign w:val="center"/>
          </w:tcPr>
          <w:p w14:paraId="5F16E635">
            <w:pPr>
              <w:keepNext w:val="0"/>
              <w:keepLines w:val="0"/>
              <w:pageBreakBefore w:val="0"/>
              <w:widowControl w:val="0"/>
              <w:kinsoku/>
              <w:wordWrap/>
              <w:overflowPunct/>
              <w:topLinePunct w:val="0"/>
              <w:autoSpaceDE/>
              <w:autoSpaceDN/>
              <w:bidi w:val="0"/>
              <w:adjustRightInd/>
              <w:snapToGrid/>
              <w:spacing w:line="360" w:lineRule="auto"/>
              <w:jc w:val="center"/>
              <w:textAlignment w:val="auto"/>
              <w:rPr>
                <w:rFonts w:hint="default" w:ascii="宋体" w:hAnsi="宋体" w:eastAsia="宋体" w:cs="宋体"/>
                <w:color w:val="auto"/>
                <w:kern w:val="2"/>
                <w:sz w:val="21"/>
                <w:szCs w:val="21"/>
                <w:highlight w:val="none"/>
                <w:lang w:val="en-US" w:eastAsia="zh-CN"/>
              </w:rPr>
            </w:pPr>
            <w:r>
              <w:rPr>
                <w:rFonts w:hint="eastAsia" w:hAnsi="宋体" w:cs="宋体"/>
                <w:color w:val="auto"/>
                <w:kern w:val="2"/>
                <w:sz w:val="21"/>
                <w:szCs w:val="21"/>
                <w:highlight w:val="none"/>
                <w:lang w:val="en-US" w:eastAsia="zh-CN"/>
              </w:rPr>
              <w:t>/</w:t>
            </w:r>
          </w:p>
        </w:tc>
      </w:tr>
      <w:tr w14:paraId="4F67C18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9" w:hRule="atLeast"/>
          <w:jc w:val="center"/>
        </w:trPr>
        <w:tc>
          <w:tcPr>
            <w:tcW w:w="670" w:type="dxa"/>
            <w:vMerge w:val="continue"/>
            <w:noWrap w:val="0"/>
            <w:vAlign w:val="center"/>
          </w:tcPr>
          <w:p w14:paraId="1A30F571">
            <w:pPr>
              <w:keepNext w:val="0"/>
              <w:keepLines w:val="0"/>
              <w:pageBreakBefore w:val="0"/>
              <w:widowControl w:val="0"/>
              <w:numPr>
                <w:ilvl w:val="0"/>
                <w:numId w:val="0"/>
              </w:numPr>
              <w:kinsoku/>
              <w:wordWrap/>
              <w:overflowPunct/>
              <w:topLinePunct w:val="0"/>
              <w:autoSpaceDE/>
              <w:autoSpaceDN/>
              <w:bidi w:val="0"/>
              <w:adjustRightInd/>
              <w:snapToGrid/>
              <w:spacing w:line="360" w:lineRule="auto"/>
              <w:ind w:leftChars="0"/>
              <w:jc w:val="center"/>
              <w:textAlignment w:val="auto"/>
              <w:rPr>
                <w:rFonts w:hint="eastAsia" w:ascii="宋体" w:hAnsi="宋体" w:eastAsia="宋体" w:cs="宋体"/>
                <w:color w:val="auto"/>
                <w:kern w:val="2"/>
                <w:sz w:val="21"/>
                <w:szCs w:val="21"/>
                <w:highlight w:val="none"/>
                <w:lang w:val="en-US" w:eastAsia="zh-CN"/>
              </w:rPr>
            </w:pPr>
          </w:p>
        </w:tc>
        <w:tc>
          <w:tcPr>
            <w:tcW w:w="2820" w:type="dxa"/>
            <w:vMerge w:val="continue"/>
            <w:noWrap w:val="0"/>
            <w:vAlign w:val="center"/>
          </w:tcPr>
          <w:p w14:paraId="2CECE585">
            <w:pPr>
              <w:keepNext w:val="0"/>
              <w:keepLines w:val="0"/>
              <w:pageBreakBefore w:val="0"/>
              <w:widowControl w:val="0"/>
              <w:kinsoku/>
              <w:wordWrap/>
              <w:overflowPunct/>
              <w:topLinePunct w:val="0"/>
              <w:autoSpaceDE/>
              <w:autoSpaceDN/>
              <w:bidi w:val="0"/>
              <w:adjustRightInd/>
              <w:snapToGrid/>
              <w:spacing w:line="360" w:lineRule="auto"/>
              <w:jc w:val="center"/>
              <w:textAlignment w:val="auto"/>
              <w:rPr>
                <w:rFonts w:hint="eastAsia" w:ascii="宋体" w:hAnsi="宋体" w:eastAsia="宋体" w:cs="宋体"/>
                <w:color w:val="auto"/>
                <w:kern w:val="2"/>
                <w:sz w:val="21"/>
                <w:szCs w:val="21"/>
                <w:highlight w:val="none"/>
                <w:lang w:val="en-US" w:eastAsia="zh-CN"/>
              </w:rPr>
            </w:pPr>
          </w:p>
        </w:tc>
        <w:tc>
          <w:tcPr>
            <w:tcW w:w="1539" w:type="dxa"/>
            <w:noWrap w:val="0"/>
            <w:vAlign w:val="center"/>
          </w:tcPr>
          <w:p w14:paraId="24C5F9B1">
            <w:pPr>
              <w:keepNext w:val="0"/>
              <w:keepLines w:val="0"/>
              <w:pageBreakBefore w:val="0"/>
              <w:widowControl w:val="0"/>
              <w:kinsoku/>
              <w:wordWrap/>
              <w:overflowPunct/>
              <w:topLinePunct w:val="0"/>
              <w:autoSpaceDE/>
              <w:autoSpaceDN/>
              <w:bidi w:val="0"/>
              <w:adjustRightInd/>
              <w:snapToGrid/>
              <w:spacing w:line="360" w:lineRule="auto"/>
              <w:jc w:val="center"/>
              <w:textAlignment w:val="auto"/>
              <w:rPr>
                <w:rFonts w:hint="eastAsia" w:ascii="宋体" w:hAnsi="宋体" w:eastAsia="宋体" w:cs="宋体"/>
                <w:color w:val="auto"/>
                <w:kern w:val="2"/>
                <w:sz w:val="21"/>
                <w:szCs w:val="21"/>
                <w:highlight w:val="none"/>
                <w:lang w:val="en-US" w:eastAsia="zh-CN" w:bidi="ar-SA"/>
              </w:rPr>
            </w:pPr>
            <w:r>
              <w:rPr>
                <w:rFonts w:hint="eastAsia" w:ascii="宋体" w:hAnsi="宋体" w:eastAsia="宋体" w:cs="宋体"/>
                <w:color w:val="auto"/>
                <w:kern w:val="2"/>
                <w:sz w:val="21"/>
                <w:szCs w:val="21"/>
                <w:highlight w:val="none"/>
                <w:lang w:val="en-US" w:eastAsia="zh-CN"/>
              </w:rPr>
              <w:t>元/包</w:t>
            </w:r>
          </w:p>
        </w:tc>
        <w:tc>
          <w:tcPr>
            <w:tcW w:w="1721" w:type="dxa"/>
            <w:noWrap w:val="0"/>
            <w:vAlign w:val="center"/>
          </w:tcPr>
          <w:p w14:paraId="39C89340">
            <w:pPr>
              <w:keepNext w:val="0"/>
              <w:keepLines w:val="0"/>
              <w:pageBreakBefore w:val="0"/>
              <w:widowControl w:val="0"/>
              <w:kinsoku/>
              <w:wordWrap/>
              <w:overflowPunct/>
              <w:topLinePunct w:val="0"/>
              <w:autoSpaceDE/>
              <w:autoSpaceDN/>
              <w:bidi w:val="0"/>
              <w:adjustRightInd/>
              <w:snapToGrid/>
              <w:spacing w:line="360" w:lineRule="auto"/>
              <w:jc w:val="center"/>
              <w:textAlignment w:val="auto"/>
              <w:rPr>
                <w:rFonts w:hint="eastAsia" w:ascii="宋体" w:hAnsi="宋体" w:eastAsia="宋体" w:cs="宋体"/>
                <w:bCs/>
                <w:color w:val="auto"/>
                <w:kern w:val="2"/>
                <w:sz w:val="21"/>
                <w:szCs w:val="21"/>
                <w:highlight w:val="none"/>
                <w:lang w:val="en-US" w:eastAsia="zh-CN" w:bidi="ar-SA"/>
              </w:rPr>
            </w:pPr>
            <w:r>
              <w:rPr>
                <w:rFonts w:hint="eastAsia" w:ascii="宋体" w:hAnsi="宋体" w:eastAsia="宋体" w:cs="宋体"/>
                <w:bCs/>
                <w:color w:val="auto"/>
                <w:kern w:val="2"/>
                <w:sz w:val="21"/>
                <w:szCs w:val="21"/>
                <w:highlight w:val="none"/>
                <w:lang w:val="en-US" w:eastAsia="zh-CN"/>
              </w:rPr>
              <w:t>仅清洗消毒</w:t>
            </w:r>
          </w:p>
        </w:tc>
        <w:tc>
          <w:tcPr>
            <w:tcW w:w="3273" w:type="dxa"/>
            <w:noWrap w:val="0"/>
            <w:vAlign w:val="center"/>
          </w:tcPr>
          <w:p w14:paraId="00D134F3">
            <w:pPr>
              <w:keepNext w:val="0"/>
              <w:keepLines w:val="0"/>
              <w:pageBreakBefore w:val="0"/>
              <w:widowControl w:val="0"/>
              <w:kinsoku/>
              <w:wordWrap/>
              <w:overflowPunct/>
              <w:topLinePunct w:val="0"/>
              <w:autoSpaceDE/>
              <w:autoSpaceDN/>
              <w:bidi w:val="0"/>
              <w:adjustRightInd/>
              <w:snapToGrid/>
              <w:spacing w:line="360" w:lineRule="auto"/>
              <w:jc w:val="center"/>
              <w:textAlignment w:val="auto"/>
              <w:rPr>
                <w:rFonts w:hint="default" w:ascii="宋体" w:hAnsi="宋体" w:eastAsia="宋体" w:cs="宋体"/>
                <w:color w:val="auto"/>
                <w:kern w:val="2"/>
                <w:sz w:val="21"/>
                <w:szCs w:val="21"/>
                <w:highlight w:val="none"/>
                <w:lang w:val="en-US" w:eastAsia="zh-CN"/>
              </w:rPr>
            </w:pPr>
            <w:r>
              <w:rPr>
                <w:rFonts w:hint="eastAsia" w:hAnsi="宋体" w:cs="宋体"/>
                <w:color w:val="auto"/>
                <w:kern w:val="2"/>
                <w:sz w:val="21"/>
                <w:szCs w:val="21"/>
                <w:highlight w:val="none"/>
                <w:lang w:val="en-US" w:eastAsia="zh-CN"/>
              </w:rPr>
              <w:t>/</w:t>
            </w:r>
          </w:p>
        </w:tc>
      </w:tr>
      <w:tr w14:paraId="3278B6D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9" w:hRule="atLeast"/>
          <w:jc w:val="center"/>
        </w:trPr>
        <w:tc>
          <w:tcPr>
            <w:tcW w:w="670" w:type="dxa"/>
            <w:vMerge w:val="continue"/>
            <w:noWrap w:val="0"/>
            <w:vAlign w:val="center"/>
          </w:tcPr>
          <w:p w14:paraId="1BE3ACC4">
            <w:pPr>
              <w:keepNext w:val="0"/>
              <w:keepLines w:val="0"/>
              <w:pageBreakBefore w:val="0"/>
              <w:widowControl w:val="0"/>
              <w:numPr>
                <w:ilvl w:val="0"/>
                <w:numId w:val="0"/>
              </w:numPr>
              <w:kinsoku/>
              <w:wordWrap/>
              <w:overflowPunct/>
              <w:topLinePunct w:val="0"/>
              <w:autoSpaceDE/>
              <w:autoSpaceDN/>
              <w:bidi w:val="0"/>
              <w:adjustRightInd/>
              <w:snapToGrid/>
              <w:spacing w:line="360" w:lineRule="auto"/>
              <w:ind w:leftChars="0"/>
              <w:jc w:val="center"/>
              <w:textAlignment w:val="auto"/>
              <w:rPr>
                <w:rFonts w:hint="default" w:ascii="宋体" w:hAnsi="宋体" w:eastAsia="宋体" w:cs="宋体"/>
                <w:color w:val="auto"/>
                <w:kern w:val="2"/>
                <w:sz w:val="21"/>
                <w:szCs w:val="21"/>
                <w:highlight w:val="none"/>
                <w:lang w:val="en-US" w:eastAsia="zh-CN"/>
              </w:rPr>
            </w:pPr>
          </w:p>
        </w:tc>
        <w:tc>
          <w:tcPr>
            <w:tcW w:w="2820" w:type="dxa"/>
            <w:vMerge w:val="continue"/>
            <w:noWrap w:val="0"/>
            <w:vAlign w:val="center"/>
          </w:tcPr>
          <w:p w14:paraId="27206F27">
            <w:pPr>
              <w:jc w:val="center"/>
              <w:rPr>
                <w:rFonts w:hint="eastAsia" w:ascii="宋体" w:hAnsi="宋体" w:eastAsia="宋体" w:cs="宋体"/>
                <w:color w:val="auto"/>
                <w:sz w:val="21"/>
                <w:szCs w:val="21"/>
                <w:highlight w:val="none"/>
                <w:lang w:val="en-US" w:eastAsia="zh-CN" w:bidi="ar-SA"/>
              </w:rPr>
            </w:pPr>
          </w:p>
        </w:tc>
        <w:tc>
          <w:tcPr>
            <w:tcW w:w="1539" w:type="dxa"/>
            <w:noWrap w:val="0"/>
            <w:vAlign w:val="center"/>
          </w:tcPr>
          <w:p w14:paraId="46D1BA08">
            <w:pPr>
              <w:jc w:val="center"/>
              <w:rPr>
                <w:rFonts w:hint="eastAsia" w:ascii="宋体" w:hAnsi="宋体" w:eastAsia="宋体" w:cs="宋体"/>
                <w:color w:val="auto"/>
                <w:sz w:val="21"/>
                <w:szCs w:val="21"/>
                <w:highlight w:val="none"/>
                <w:lang w:val="en-US" w:eastAsia="zh-CN" w:bidi="ar-SA"/>
              </w:rPr>
            </w:pPr>
            <w:r>
              <w:rPr>
                <w:rFonts w:hint="eastAsia" w:ascii="宋体" w:hAnsi="宋体" w:eastAsia="宋体" w:cs="宋体"/>
                <w:bCs/>
                <w:color w:val="auto"/>
                <w:sz w:val="21"/>
                <w:szCs w:val="21"/>
                <w:highlight w:val="none"/>
                <w:lang w:val="en-US" w:eastAsia="zh-CN"/>
              </w:rPr>
              <w:t>元/炉</w:t>
            </w:r>
          </w:p>
        </w:tc>
        <w:tc>
          <w:tcPr>
            <w:tcW w:w="1721" w:type="dxa"/>
            <w:noWrap w:val="0"/>
            <w:vAlign w:val="center"/>
          </w:tcPr>
          <w:p w14:paraId="318FFD21">
            <w:pPr>
              <w:jc w:val="center"/>
              <w:rPr>
                <w:rFonts w:hint="eastAsia" w:ascii="宋体" w:hAnsi="宋体" w:eastAsia="宋体" w:cs="宋体"/>
                <w:bCs/>
                <w:color w:val="auto"/>
                <w:sz w:val="21"/>
                <w:szCs w:val="21"/>
                <w:highlight w:val="none"/>
                <w:lang w:val="en-US" w:eastAsia="zh-CN" w:bidi="ar-SA"/>
              </w:rPr>
            </w:pPr>
            <w:r>
              <w:rPr>
                <w:rFonts w:hint="eastAsia" w:ascii="宋体" w:hAnsi="宋体" w:eastAsia="宋体" w:cs="宋体"/>
                <w:color w:val="auto"/>
                <w:sz w:val="21"/>
                <w:szCs w:val="21"/>
                <w:highlight w:val="none"/>
                <w:lang w:val="en-US" w:eastAsia="zh-CN"/>
              </w:rPr>
              <w:t xml:space="preserve">化学PCD </w:t>
            </w:r>
          </w:p>
        </w:tc>
        <w:tc>
          <w:tcPr>
            <w:tcW w:w="3273" w:type="dxa"/>
            <w:noWrap w:val="0"/>
            <w:vAlign w:val="center"/>
          </w:tcPr>
          <w:p w14:paraId="6729135C">
            <w:pPr>
              <w:jc w:val="center"/>
              <w:rPr>
                <w:rFonts w:hint="default" w:ascii="宋体" w:hAnsi="宋体" w:eastAsia="宋体" w:cs="宋体"/>
                <w:color w:val="auto"/>
                <w:sz w:val="21"/>
                <w:szCs w:val="21"/>
                <w:highlight w:val="none"/>
                <w:lang w:val="en-US" w:eastAsia="zh-CN" w:bidi="ar-SA"/>
              </w:rPr>
            </w:pPr>
            <w:r>
              <w:rPr>
                <w:rFonts w:hint="eastAsia" w:ascii="宋体" w:hAnsi="宋体" w:eastAsia="宋体" w:cs="宋体"/>
                <w:color w:val="auto"/>
                <w:sz w:val="21"/>
                <w:szCs w:val="21"/>
                <w:highlight w:val="none"/>
                <w:lang w:val="en-US" w:eastAsia="zh-CN" w:bidi="ar-SA"/>
              </w:rPr>
              <w:t>/</w:t>
            </w:r>
          </w:p>
        </w:tc>
      </w:tr>
      <w:tr w14:paraId="735B6EE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9" w:hRule="atLeast"/>
          <w:jc w:val="center"/>
        </w:trPr>
        <w:tc>
          <w:tcPr>
            <w:tcW w:w="670" w:type="dxa"/>
            <w:vMerge w:val="continue"/>
            <w:noWrap w:val="0"/>
            <w:vAlign w:val="center"/>
          </w:tcPr>
          <w:p w14:paraId="11CB0CE4">
            <w:pPr>
              <w:keepNext w:val="0"/>
              <w:keepLines w:val="0"/>
              <w:pageBreakBefore w:val="0"/>
              <w:widowControl w:val="0"/>
              <w:numPr>
                <w:ilvl w:val="0"/>
                <w:numId w:val="0"/>
              </w:numPr>
              <w:kinsoku/>
              <w:wordWrap/>
              <w:overflowPunct/>
              <w:topLinePunct w:val="0"/>
              <w:autoSpaceDE/>
              <w:autoSpaceDN/>
              <w:bidi w:val="0"/>
              <w:adjustRightInd/>
              <w:snapToGrid/>
              <w:spacing w:line="360" w:lineRule="auto"/>
              <w:ind w:leftChars="0"/>
              <w:jc w:val="center"/>
              <w:textAlignment w:val="auto"/>
              <w:rPr>
                <w:rFonts w:hint="eastAsia" w:ascii="宋体" w:hAnsi="宋体" w:eastAsia="宋体" w:cs="宋体"/>
                <w:color w:val="auto"/>
                <w:kern w:val="2"/>
                <w:sz w:val="21"/>
                <w:szCs w:val="21"/>
                <w:highlight w:val="none"/>
                <w:lang w:val="en-US" w:eastAsia="zh-CN"/>
              </w:rPr>
            </w:pPr>
          </w:p>
        </w:tc>
        <w:tc>
          <w:tcPr>
            <w:tcW w:w="2820" w:type="dxa"/>
            <w:noWrap w:val="0"/>
            <w:vAlign w:val="center"/>
          </w:tcPr>
          <w:p w14:paraId="2396C4E7">
            <w:pPr>
              <w:jc w:val="center"/>
              <w:rPr>
                <w:rFonts w:hint="eastAsia" w:ascii="宋体" w:hAnsi="宋体" w:eastAsia="宋体" w:cs="宋体"/>
                <w:color w:val="auto"/>
                <w:sz w:val="21"/>
                <w:szCs w:val="21"/>
                <w:highlight w:val="none"/>
                <w:lang w:val="en-US" w:eastAsia="zh-CN" w:bidi="ar-SA"/>
              </w:rPr>
            </w:pPr>
            <w:r>
              <w:rPr>
                <w:rFonts w:hint="eastAsia" w:ascii="宋体" w:hAnsi="宋体" w:eastAsia="宋体" w:cs="宋体"/>
                <w:color w:val="auto"/>
                <w:sz w:val="21"/>
                <w:szCs w:val="21"/>
                <w:highlight w:val="none"/>
                <w:lang w:val="en-US" w:eastAsia="zh-CN"/>
              </w:rPr>
              <w:t>生物监测</w:t>
            </w:r>
          </w:p>
        </w:tc>
        <w:tc>
          <w:tcPr>
            <w:tcW w:w="1539" w:type="dxa"/>
            <w:noWrap w:val="0"/>
            <w:vAlign w:val="center"/>
          </w:tcPr>
          <w:p w14:paraId="0EB23D92">
            <w:pPr>
              <w:jc w:val="center"/>
              <w:rPr>
                <w:rFonts w:hint="eastAsia" w:ascii="宋体" w:hAnsi="宋体" w:eastAsia="宋体" w:cs="宋体"/>
                <w:color w:val="auto"/>
                <w:sz w:val="21"/>
                <w:szCs w:val="21"/>
                <w:highlight w:val="none"/>
                <w:lang w:val="en-US" w:eastAsia="zh-CN" w:bidi="ar-SA"/>
              </w:rPr>
            </w:pPr>
            <w:r>
              <w:rPr>
                <w:rFonts w:hint="eastAsia" w:ascii="宋体" w:hAnsi="宋体" w:eastAsia="宋体" w:cs="宋体"/>
                <w:bCs/>
                <w:color w:val="auto"/>
                <w:sz w:val="21"/>
                <w:szCs w:val="21"/>
                <w:highlight w:val="none"/>
                <w:lang w:val="en-US" w:eastAsia="zh-CN"/>
              </w:rPr>
              <w:t>元/炉</w:t>
            </w:r>
          </w:p>
        </w:tc>
        <w:tc>
          <w:tcPr>
            <w:tcW w:w="1721" w:type="dxa"/>
            <w:noWrap w:val="0"/>
            <w:vAlign w:val="center"/>
          </w:tcPr>
          <w:p w14:paraId="482705B4">
            <w:pPr>
              <w:jc w:val="center"/>
              <w:rPr>
                <w:rFonts w:hint="eastAsia" w:ascii="宋体" w:hAnsi="宋体" w:eastAsia="宋体" w:cs="宋体"/>
                <w:bCs/>
                <w:color w:val="auto"/>
                <w:sz w:val="21"/>
                <w:szCs w:val="21"/>
                <w:highlight w:val="none"/>
                <w:lang w:val="en-US" w:eastAsia="zh-CN" w:bidi="ar-SA"/>
              </w:rPr>
            </w:pPr>
            <w:r>
              <w:rPr>
                <w:rFonts w:hint="eastAsia" w:ascii="宋体" w:hAnsi="宋体" w:eastAsia="宋体" w:cs="宋体"/>
                <w:bCs/>
                <w:color w:val="auto"/>
                <w:kern w:val="2"/>
                <w:sz w:val="21"/>
                <w:szCs w:val="21"/>
                <w:highlight w:val="none"/>
                <w:lang w:val="en-US" w:eastAsia="zh-CN" w:bidi="ar-SA"/>
              </w:rPr>
              <w:t>/</w:t>
            </w:r>
          </w:p>
        </w:tc>
        <w:tc>
          <w:tcPr>
            <w:tcW w:w="3273" w:type="dxa"/>
            <w:noWrap w:val="0"/>
            <w:vAlign w:val="center"/>
          </w:tcPr>
          <w:p w14:paraId="5B4D9FBD">
            <w:pPr>
              <w:jc w:val="both"/>
              <w:rPr>
                <w:rFonts w:hint="eastAsia" w:ascii="宋体" w:hAnsi="宋体" w:eastAsia="宋体" w:cs="宋体"/>
                <w:color w:val="auto"/>
                <w:sz w:val="21"/>
                <w:szCs w:val="21"/>
                <w:highlight w:val="none"/>
                <w:lang w:val="en-US" w:eastAsia="zh-CN" w:bidi="ar-SA"/>
              </w:rPr>
            </w:pPr>
            <w:r>
              <w:rPr>
                <w:rFonts w:hint="eastAsia" w:ascii="宋体" w:hAnsi="宋体" w:eastAsia="宋体" w:cs="宋体"/>
                <w:bCs/>
                <w:color w:val="auto"/>
                <w:sz w:val="21"/>
                <w:szCs w:val="21"/>
                <w:highlight w:val="none"/>
                <w:lang w:val="en-US" w:eastAsia="zh-CN"/>
              </w:rPr>
              <w:t>含植入物按每一炉收费</w:t>
            </w:r>
          </w:p>
        </w:tc>
      </w:tr>
      <w:tr w14:paraId="77FD608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5" w:hRule="atLeast"/>
          <w:jc w:val="center"/>
        </w:trPr>
        <w:tc>
          <w:tcPr>
            <w:tcW w:w="670" w:type="dxa"/>
            <w:noWrap w:val="0"/>
            <w:vAlign w:val="center"/>
          </w:tcPr>
          <w:p w14:paraId="6165447D">
            <w:pPr>
              <w:keepNext w:val="0"/>
              <w:keepLines w:val="0"/>
              <w:pageBreakBefore w:val="0"/>
              <w:widowControl w:val="0"/>
              <w:numPr>
                <w:ilvl w:val="0"/>
                <w:numId w:val="0"/>
              </w:numPr>
              <w:kinsoku/>
              <w:wordWrap/>
              <w:overflowPunct/>
              <w:topLinePunct w:val="0"/>
              <w:autoSpaceDE/>
              <w:autoSpaceDN/>
              <w:bidi w:val="0"/>
              <w:adjustRightInd/>
              <w:snapToGrid/>
              <w:spacing w:line="360" w:lineRule="auto"/>
              <w:ind w:leftChars="0"/>
              <w:jc w:val="center"/>
              <w:textAlignment w:val="auto"/>
              <w:rPr>
                <w:rFonts w:hint="eastAsia" w:ascii="宋体" w:hAnsi="宋体" w:eastAsia="宋体" w:cs="宋体"/>
                <w:color w:val="auto"/>
                <w:kern w:val="2"/>
                <w:sz w:val="21"/>
                <w:szCs w:val="21"/>
                <w:highlight w:val="none"/>
                <w:lang w:val="en-US" w:eastAsia="zh-CN"/>
              </w:rPr>
            </w:pPr>
            <w:r>
              <w:rPr>
                <w:rFonts w:hint="eastAsia" w:ascii="宋体" w:hAnsi="宋体" w:eastAsia="宋体" w:cs="宋体"/>
                <w:color w:val="auto"/>
                <w:kern w:val="2"/>
                <w:sz w:val="21"/>
                <w:szCs w:val="21"/>
                <w:highlight w:val="none"/>
                <w:lang w:val="en-US" w:eastAsia="zh-CN"/>
              </w:rPr>
              <w:t>四、</w:t>
            </w:r>
          </w:p>
        </w:tc>
        <w:tc>
          <w:tcPr>
            <w:tcW w:w="9353" w:type="dxa"/>
            <w:gridSpan w:val="4"/>
            <w:noWrap w:val="0"/>
            <w:vAlign w:val="center"/>
          </w:tcPr>
          <w:p w14:paraId="667B4F7F">
            <w:pPr>
              <w:keepNext w:val="0"/>
              <w:keepLines w:val="0"/>
              <w:pageBreakBefore w:val="0"/>
              <w:widowControl w:val="0"/>
              <w:kinsoku/>
              <w:wordWrap/>
              <w:overflowPunct/>
              <w:topLinePunct w:val="0"/>
              <w:autoSpaceDE/>
              <w:autoSpaceDN/>
              <w:bidi w:val="0"/>
              <w:adjustRightInd/>
              <w:snapToGrid/>
              <w:spacing w:line="360" w:lineRule="auto"/>
              <w:textAlignment w:val="auto"/>
              <w:rPr>
                <w:rFonts w:hint="eastAsia" w:ascii="宋体" w:hAnsi="宋体" w:eastAsia="宋体" w:cs="宋体"/>
                <w:color w:val="auto"/>
                <w:kern w:val="2"/>
                <w:sz w:val="21"/>
                <w:szCs w:val="21"/>
                <w:highlight w:val="none"/>
                <w:lang w:eastAsia="zh-CN"/>
              </w:rPr>
            </w:pPr>
            <w:r>
              <w:rPr>
                <w:rFonts w:hint="eastAsia" w:hAnsi="宋体" w:cs="宋体"/>
                <w:color w:val="auto"/>
                <w:kern w:val="2"/>
                <w:sz w:val="21"/>
                <w:szCs w:val="21"/>
                <w:highlight w:val="none"/>
                <w:lang w:val="en-US" w:eastAsia="zh-CN"/>
              </w:rPr>
              <w:t>要求</w:t>
            </w:r>
          </w:p>
        </w:tc>
      </w:tr>
      <w:tr w14:paraId="6B5BD00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5" w:hRule="atLeast"/>
          <w:jc w:val="center"/>
        </w:trPr>
        <w:tc>
          <w:tcPr>
            <w:tcW w:w="670" w:type="dxa"/>
            <w:noWrap w:val="0"/>
            <w:vAlign w:val="center"/>
          </w:tcPr>
          <w:p w14:paraId="6C9E3E1E">
            <w:pPr>
              <w:keepNext w:val="0"/>
              <w:keepLines w:val="0"/>
              <w:pageBreakBefore w:val="0"/>
              <w:widowControl w:val="0"/>
              <w:kinsoku/>
              <w:wordWrap/>
              <w:overflowPunct/>
              <w:topLinePunct w:val="0"/>
              <w:autoSpaceDE/>
              <w:autoSpaceDN/>
              <w:bidi w:val="0"/>
              <w:adjustRightInd/>
              <w:snapToGrid/>
              <w:spacing w:line="360" w:lineRule="auto"/>
              <w:jc w:val="center"/>
              <w:textAlignment w:val="auto"/>
              <w:rPr>
                <w:rFonts w:hint="eastAsia" w:ascii="宋体" w:hAnsi="宋体" w:eastAsia="宋体" w:cs="宋体"/>
                <w:color w:val="auto"/>
                <w:kern w:val="2"/>
                <w:sz w:val="21"/>
                <w:szCs w:val="21"/>
                <w:highlight w:val="none"/>
                <w:lang w:val="en-US" w:eastAsia="zh-CN"/>
              </w:rPr>
            </w:pPr>
            <w:r>
              <w:rPr>
                <w:rFonts w:hint="eastAsia" w:ascii="宋体" w:hAnsi="宋体" w:eastAsia="宋体" w:cs="宋体"/>
                <w:color w:val="auto"/>
                <w:kern w:val="2"/>
                <w:sz w:val="21"/>
                <w:szCs w:val="21"/>
                <w:highlight w:val="none"/>
              </w:rPr>
              <w:t>1</w:t>
            </w:r>
            <w:r>
              <w:rPr>
                <w:rFonts w:hint="eastAsia" w:hAnsi="宋体" w:cs="宋体"/>
                <w:color w:val="auto"/>
                <w:kern w:val="2"/>
                <w:sz w:val="21"/>
                <w:szCs w:val="21"/>
                <w:highlight w:val="none"/>
                <w:lang w:val="en-US" w:eastAsia="zh-CN"/>
              </w:rPr>
              <w:t>.</w:t>
            </w:r>
          </w:p>
        </w:tc>
        <w:tc>
          <w:tcPr>
            <w:tcW w:w="9353" w:type="dxa"/>
            <w:gridSpan w:val="4"/>
            <w:noWrap w:val="0"/>
            <w:vAlign w:val="center"/>
          </w:tcPr>
          <w:p w14:paraId="5399A146">
            <w:pPr>
              <w:keepNext w:val="0"/>
              <w:keepLines w:val="0"/>
              <w:pageBreakBefore w:val="0"/>
              <w:widowControl w:val="0"/>
              <w:kinsoku/>
              <w:wordWrap/>
              <w:overflowPunct/>
              <w:topLinePunct w:val="0"/>
              <w:autoSpaceDE/>
              <w:autoSpaceDN/>
              <w:bidi w:val="0"/>
              <w:adjustRightInd/>
              <w:snapToGrid/>
              <w:spacing w:line="360" w:lineRule="auto"/>
              <w:textAlignment w:val="auto"/>
              <w:rPr>
                <w:rFonts w:hint="eastAsia" w:ascii="宋体" w:hAnsi="宋体" w:eastAsia="宋体" w:cs="宋体"/>
                <w:bCs/>
                <w:color w:val="auto"/>
                <w:kern w:val="2"/>
                <w:sz w:val="21"/>
                <w:szCs w:val="21"/>
                <w:highlight w:val="none"/>
              </w:rPr>
            </w:pPr>
            <w:r>
              <w:rPr>
                <w:rFonts w:hint="eastAsia" w:ascii="宋体" w:hAnsi="宋体" w:eastAsia="宋体" w:cs="宋体"/>
                <w:color w:val="auto"/>
                <w:kern w:val="2"/>
                <w:sz w:val="21"/>
                <w:szCs w:val="21"/>
                <w:highlight w:val="none"/>
              </w:rPr>
              <w:t>为提升服务质量，中标人</w:t>
            </w:r>
            <w:r>
              <w:rPr>
                <w:rFonts w:hint="eastAsia" w:ascii="宋体" w:hAnsi="宋体" w:eastAsia="宋体" w:cs="宋体"/>
                <w:color w:val="auto"/>
                <w:kern w:val="2"/>
                <w:sz w:val="21"/>
                <w:szCs w:val="21"/>
                <w:highlight w:val="none"/>
                <w:lang w:val="en-US" w:eastAsia="zh-CN"/>
              </w:rPr>
              <w:t>须</w:t>
            </w:r>
            <w:r>
              <w:rPr>
                <w:rFonts w:hint="eastAsia" w:ascii="宋体" w:hAnsi="宋体" w:eastAsia="宋体" w:cs="宋体"/>
                <w:color w:val="auto"/>
                <w:kern w:val="2"/>
                <w:sz w:val="21"/>
                <w:szCs w:val="21"/>
                <w:highlight w:val="none"/>
              </w:rPr>
              <w:t>提供追溯条码牌、转运箱、转运车</w:t>
            </w:r>
            <w:r>
              <w:rPr>
                <w:rFonts w:hint="eastAsia" w:hAnsi="宋体" w:cs="宋体"/>
                <w:color w:val="auto"/>
                <w:kern w:val="2"/>
                <w:sz w:val="21"/>
                <w:szCs w:val="21"/>
                <w:highlight w:val="none"/>
                <w:lang w:val="en-US" w:eastAsia="zh-CN"/>
              </w:rPr>
              <w:t>等</w:t>
            </w:r>
            <w:r>
              <w:rPr>
                <w:rFonts w:hint="eastAsia" w:ascii="宋体" w:hAnsi="宋体" w:eastAsia="宋体" w:cs="宋体"/>
                <w:color w:val="auto"/>
                <w:kern w:val="2"/>
                <w:sz w:val="21"/>
                <w:szCs w:val="21"/>
                <w:highlight w:val="none"/>
              </w:rPr>
              <w:t>。</w:t>
            </w:r>
          </w:p>
        </w:tc>
      </w:tr>
      <w:tr w14:paraId="3C3410C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5" w:hRule="atLeast"/>
          <w:jc w:val="center"/>
        </w:trPr>
        <w:tc>
          <w:tcPr>
            <w:tcW w:w="670" w:type="dxa"/>
            <w:noWrap w:val="0"/>
            <w:vAlign w:val="center"/>
          </w:tcPr>
          <w:p w14:paraId="37927560">
            <w:pPr>
              <w:keepNext w:val="0"/>
              <w:keepLines w:val="0"/>
              <w:pageBreakBefore w:val="0"/>
              <w:widowControl w:val="0"/>
              <w:kinsoku/>
              <w:wordWrap/>
              <w:overflowPunct/>
              <w:topLinePunct w:val="0"/>
              <w:autoSpaceDE/>
              <w:autoSpaceDN/>
              <w:bidi w:val="0"/>
              <w:adjustRightInd/>
              <w:snapToGrid/>
              <w:spacing w:line="360" w:lineRule="auto"/>
              <w:jc w:val="center"/>
              <w:textAlignment w:val="auto"/>
              <w:rPr>
                <w:rFonts w:hint="eastAsia" w:ascii="宋体" w:hAnsi="宋体" w:eastAsia="宋体" w:cs="宋体"/>
                <w:color w:val="auto"/>
                <w:kern w:val="2"/>
                <w:sz w:val="21"/>
                <w:szCs w:val="21"/>
                <w:highlight w:val="none"/>
                <w:lang w:eastAsia="zh-CN"/>
              </w:rPr>
            </w:pPr>
            <w:r>
              <w:rPr>
                <w:rFonts w:hint="eastAsia" w:ascii="宋体" w:hAnsi="宋体" w:eastAsia="宋体" w:cs="宋体"/>
                <w:color w:val="auto"/>
                <w:kern w:val="2"/>
                <w:sz w:val="21"/>
                <w:szCs w:val="21"/>
                <w:highlight w:val="none"/>
              </w:rPr>
              <w:t>2</w:t>
            </w:r>
            <w:r>
              <w:rPr>
                <w:rFonts w:hint="eastAsia" w:hAnsi="宋体" w:cs="宋体"/>
                <w:color w:val="auto"/>
                <w:kern w:val="2"/>
                <w:sz w:val="21"/>
                <w:szCs w:val="21"/>
                <w:highlight w:val="none"/>
                <w:lang w:eastAsia="zh-CN"/>
              </w:rPr>
              <w:t>.</w:t>
            </w:r>
          </w:p>
        </w:tc>
        <w:tc>
          <w:tcPr>
            <w:tcW w:w="9353" w:type="dxa"/>
            <w:gridSpan w:val="4"/>
            <w:noWrap w:val="0"/>
            <w:vAlign w:val="center"/>
          </w:tcPr>
          <w:p w14:paraId="4B5A1B53">
            <w:pPr>
              <w:keepNext w:val="0"/>
              <w:keepLines w:val="0"/>
              <w:pageBreakBefore w:val="0"/>
              <w:widowControl w:val="0"/>
              <w:kinsoku/>
              <w:wordWrap/>
              <w:overflowPunct/>
              <w:topLinePunct w:val="0"/>
              <w:autoSpaceDE/>
              <w:autoSpaceDN/>
              <w:bidi w:val="0"/>
              <w:adjustRightInd/>
              <w:snapToGrid/>
              <w:spacing w:line="360" w:lineRule="auto"/>
              <w:textAlignment w:val="auto"/>
              <w:rPr>
                <w:rFonts w:hint="eastAsia" w:ascii="宋体" w:hAnsi="宋体" w:eastAsia="宋体" w:cs="宋体"/>
                <w:color w:val="auto"/>
                <w:kern w:val="2"/>
                <w:sz w:val="21"/>
                <w:szCs w:val="21"/>
                <w:highlight w:val="none"/>
              </w:rPr>
            </w:pPr>
            <w:r>
              <w:rPr>
                <w:rFonts w:hint="eastAsia" w:ascii="宋体" w:hAnsi="宋体" w:eastAsia="宋体" w:cs="宋体"/>
                <w:color w:val="auto"/>
                <w:kern w:val="2"/>
                <w:sz w:val="21"/>
                <w:szCs w:val="21"/>
                <w:highlight w:val="none"/>
              </w:rPr>
              <w:t>复杂</w:t>
            </w:r>
            <w:r>
              <w:rPr>
                <w:rFonts w:hint="eastAsia" w:hAnsi="宋体" w:cs="宋体"/>
                <w:color w:val="auto"/>
                <w:kern w:val="2"/>
                <w:sz w:val="21"/>
                <w:szCs w:val="21"/>
                <w:highlight w:val="none"/>
                <w:lang w:val="en-US" w:eastAsia="zh-CN"/>
              </w:rPr>
              <w:t>或</w:t>
            </w:r>
            <w:r>
              <w:rPr>
                <w:rFonts w:hint="eastAsia" w:ascii="宋体" w:hAnsi="宋体" w:eastAsia="宋体" w:cs="宋体"/>
                <w:color w:val="auto"/>
                <w:kern w:val="2"/>
                <w:sz w:val="21"/>
                <w:szCs w:val="21"/>
                <w:highlight w:val="none"/>
              </w:rPr>
              <w:t>是高值器械的服务价格需经双方另行商定并确认。</w:t>
            </w:r>
          </w:p>
        </w:tc>
      </w:tr>
      <w:tr w14:paraId="7D24786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5" w:hRule="atLeast"/>
          <w:jc w:val="center"/>
        </w:trPr>
        <w:tc>
          <w:tcPr>
            <w:tcW w:w="670" w:type="dxa"/>
            <w:noWrap w:val="0"/>
            <w:vAlign w:val="center"/>
          </w:tcPr>
          <w:p w14:paraId="7DC6529F">
            <w:pPr>
              <w:keepNext w:val="0"/>
              <w:keepLines w:val="0"/>
              <w:pageBreakBefore w:val="0"/>
              <w:widowControl w:val="0"/>
              <w:kinsoku/>
              <w:wordWrap/>
              <w:overflowPunct/>
              <w:topLinePunct w:val="0"/>
              <w:autoSpaceDE/>
              <w:autoSpaceDN/>
              <w:bidi w:val="0"/>
              <w:adjustRightInd/>
              <w:snapToGrid/>
              <w:spacing w:line="360" w:lineRule="auto"/>
              <w:jc w:val="center"/>
              <w:textAlignment w:val="auto"/>
              <w:rPr>
                <w:rFonts w:hint="eastAsia" w:ascii="宋体" w:hAnsi="宋体" w:eastAsia="宋体" w:cs="宋体"/>
                <w:color w:val="auto"/>
                <w:kern w:val="2"/>
                <w:sz w:val="21"/>
                <w:szCs w:val="21"/>
                <w:highlight w:val="none"/>
                <w:lang w:eastAsia="zh-CN"/>
              </w:rPr>
            </w:pPr>
            <w:r>
              <w:rPr>
                <w:rFonts w:hint="eastAsia" w:ascii="宋体" w:hAnsi="宋体" w:eastAsia="宋体" w:cs="宋体"/>
                <w:color w:val="auto"/>
                <w:kern w:val="2"/>
                <w:sz w:val="21"/>
                <w:szCs w:val="21"/>
                <w:highlight w:val="none"/>
              </w:rPr>
              <w:t>3</w:t>
            </w:r>
            <w:r>
              <w:rPr>
                <w:rFonts w:hint="eastAsia" w:hAnsi="宋体" w:cs="宋体"/>
                <w:color w:val="auto"/>
                <w:kern w:val="2"/>
                <w:sz w:val="21"/>
                <w:szCs w:val="21"/>
                <w:highlight w:val="none"/>
                <w:lang w:eastAsia="zh-CN"/>
              </w:rPr>
              <w:t>.</w:t>
            </w:r>
          </w:p>
        </w:tc>
        <w:tc>
          <w:tcPr>
            <w:tcW w:w="9353" w:type="dxa"/>
            <w:gridSpan w:val="4"/>
            <w:noWrap w:val="0"/>
            <w:vAlign w:val="center"/>
          </w:tcPr>
          <w:p w14:paraId="22BB149B">
            <w:pPr>
              <w:keepNext w:val="0"/>
              <w:keepLines w:val="0"/>
              <w:pageBreakBefore w:val="0"/>
              <w:widowControl w:val="0"/>
              <w:kinsoku/>
              <w:wordWrap/>
              <w:overflowPunct/>
              <w:topLinePunct w:val="0"/>
              <w:autoSpaceDE/>
              <w:autoSpaceDN/>
              <w:bidi w:val="0"/>
              <w:adjustRightInd/>
              <w:snapToGrid/>
              <w:spacing w:line="360" w:lineRule="auto"/>
              <w:textAlignment w:val="auto"/>
              <w:rPr>
                <w:rFonts w:hint="eastAsia" w:ascii="宋体" w:hAnsi="宋体" w:eastAsia="宋体" w:cs="宋体"/>
                <w:color w:val="auto"/>
                <w:kern w:val="2"/>
                <w:sz w:val="21"/>
                <w:szCs w:val="21"/>
                <w:highlight w:val="none"/>
              </w:rPr>
            </w:pPr>
            <w:r>
              <w:rPr>
                <w:rFonts w:hint="eastAsia" w:ascii="宋体" w:hAnsi="宋体" w:eastAsia="宋体" w:cs="宋体"/>
                <w:color w:val="auto"/>
                <w:kern w:val="2"/>
                <w:sz w:val="21"/>
                <w:szCs w:val="21"/>
                <w:highlight w:val="none"/>
              </w:rPr>
              <w:t>本价格表中未包含的物品价格，双方在处理前另行商定。</w:t>
            </w:r>
          </w:p>
        </w:tc>
      </w:tr>
      <w:tr w14:paraId="769BD56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5" w:hRule="atLeast"/>
          <w:jc w:val="center"/>
        </w:trPr>
        <w:tc>
          <w:tcPr>
            <w:tcW w:w="670" w:type="dxa"/>
            <w:noWrap w:val="0"/>
            <w:vAlign w:val="center"/>
          </w:tcPr>
          <w:p w14:paraId="105DD308">
            <w:pPr>
              <w:keepNext w:val="0"/>
              <w:keepLines w:val="0"/>
              <w:pageBreakBefore w:val="0"/>
              <w:widowControl w:val="0"/>
              <w:kinsoku/>
              <w:wordWrap/>
              <w:overflowPunct/>
              <w:topLinePunct w:val="0"/>
              <w:autoSpaceDE/>
              <w:autoSpaceDN/>
              <w:bidi w:val="0"/>
              <w:adjustRightInd/>
              <w:snapToGrid/>
              <w:spacing w:line="360" w:lineRule="auto"/>
              <w:jc w:val="center"/>
              <w:textAlignment w:val="auto"/>
              <w:rPr>
                <w:rFonts w:hint="eastAsia" w:ascii="宋体" w:hAnsi="宋体" w:eastAsia="宋体" w:cs="宋体"/>
                <w:color w:val="auto"/>
                <w:kern w:val="2"/>
                <w:sz w:val="21"/>
                <w:szCs w:val="21"/>
                <w:highlight w:val="none"/>
                <w:lang w:eastAsia="zh-CN"/>
              </w:rPr>
            </w:pPr>
            <w:r>
              <w:rPr>
                <w:rFonts w:hint="eastAsia" w:ascii="宋体" w:hAnsi="宋体" w:eastAsia="宋体" w:cs="宋体"/>
                <w:color w:val="auto"/>
                <w:kern w:val="2"/>
                <w:sz w:val="21"/>
                <w:szCs w:val="21"/>
                <w:highlight w:val="none"/>
              </w:rPr>
              <w:t>4</w:t>
            </w:r>
            <w:r>
              <w:rPr>
                <w:rFonts w:hint="eastAsia" w:hAnsi="宋体" w:cs="宋体"/>
                <w:color w:val="auto"/>
                <w:kern w:val="2"/>
                <w:sz w:val="21"/>
                <w:szCs w:val="21"/>
                <w:highlight w:val="none"/>
                <w:lang w:eastAsia="zh-CN"/>
              </w:rPr>
              <w:t>.</w:t>
            </w:r>
          </w:p>
        </w:tc>
        <w:tc>
          <w:tcPr>
            <w:tcW w:w="9353" w:type="dxa"/>
            <w:gridSpan w:val="4"/>
            <w:noWrap w:val="0"/>
            <w:vAlign w:val="center"/>
          </w:tcPr>
          <w:p w14:paraId="14747297">
            <w:pPr>
              <w:keepNext w:val="0"/>
              <w:keepLines w:val="0"/>
              <w:pageBreakBefore w:val="0"/>
              <w:widowControl w:val="0"/>
              <w:kinsoku/>
              <w:wordWrap/>
              <w:overflowPunct/>
              <w:topLinePunct w:val="0"/>
              <w:autoSpaceDE/>
              <w:autoSpaceDN/>
              <w:bidi w:val="0"/>
              <w:adjustRightInd/>
              <w:snapToGrid/>
              <w:spacing w:line="360" w:lineRule="auto"/>
              <w:textAlignment w:val="auto"/>
              <w:rPr>
                <w:rFonts w:hint="eastAsia" w:ascii="宋体" w:hAnsi="宋体" w:eastAsia="宋体" w:cs="宋体"/>
                <w:color w:val="auto"/>
                <w:kern w:val="2"/>
                <w:sz w:val="21"/>
                <w:szCs w:val="21"/>
                <w:highlight w:val="none"/>
              </w:rPr>
            </w:pPr>
            <w:r>
              <w:rPr>
                <w:rFonts w:hint="eastAsia" w:ascii="宋体" w:hAnsi="宋体" w:eastAsia="宋体" w:cs="宋体"/>
                <w:color w:val="auto"/>
                <w:kern w:val="2"/>
                <w:sz w:val="21"/>
                <w:szCs w:val="21"/>
                <w:highlight w:val="none"/>
              </w:rPr>
              <w:t>以包为单位的医疗器械的应急服务：即</w:t>
            </w:r>
            <w:r>
              <w:rPr>
                <w:rFonts w:hint="eastAsia" w:ascii="宋体" w:hAnsi="宋体" w:eastAsia="宋体" w:cs="宋体"/>
                <w:color w:val="auto"/>
                <w:kern w:val="2"/>
                <w:sz w:val="21"/>
                <w:szCs w:val="21"/>
                <w:highlight w:val="none"/>
                <w:lang w:eastAsia="zh-CN"/>
              </w:rPr>
              <w:t>中标人</w:t>
            </w:r>
            <w:r>
              <w:rPr>
                <w:rFonts w:hint="eastAsia" w:ascii="宋体" w:hAnsi="宋体" w:eastAsia="宋体" w:cs="宋体"/>
                <w:color w:val="auto"/>
                <w:kern w:val="2"/>
                <w:sz w:val="21"/>
                <w:szCs w:val="21"/>
                <w:highlight w:val="none"/>
              </w:rPr>
              <w:t>根据</w:t>
            </w:r>
            <w:r>
              <w:rPr>
                <w:rFonts w:hint="eastAsia" w:ascii="宋体" w:hAnsi="宋体" w:eastAsia="宋体" w:cs="宋体"/>
                <w:color w:val="auto"/>
                <w:kern w:val="2"/>
                <w:sz w:val="21"/>
                <w:szCs w:val="21"/>
                <w:highlight w:val="none"/>
                <w:lang w:eastAsia="zh-CN"/>
              </w:rPr>
              <w:t>采购人</w:t>
            </w:r>
            <w:r>
              <w:rPr>
                <w:rFonts w:hint="eastAsia" w:ascii="宋体" w:hAnsi="宋体" w:eastAsia="宋体" w:cs="宋体"/>
                <w:color w:val="auto"/>
                <w:kern w:val="2"/>
                <w:sz w:val="21"/>
                <w:szCs w:val="21"/>
                <w:highlight w:val="none"/>
              </w:rPr>
              <w:t>需求，向</w:t>
            </w:r>
            <w:r>
              <w:rPr>
                <w:rFonts w:hint="eastAsia" w:ascii="宋体" w:hAnsi="宋体" w:eastAsia="宋体" w:cs="宋体"/>
                <w:color w:val="auto"/>
                <w:kern w:val="2"/>
                <w:sz w:val="21"/>
                <w:szCs w:val="21"/>
                <w:highlight w:val="none"/>
                <w:lang w:eastAsia="zh-CN"/>
              </w:rPr>
              <w:t>采购人</w:t>
            </w:r>
            <w:r>
              <w:rPr>
                <w:rFonts w:hint="eastAsia" w:ascii="宋体" w:hAnsi="宋体" w:eastAsia="宋体" w:cs="宋体"/>
                <w:color w:val="auto"/>
                <w:kern w:val="2"/>
                <w:sz w:val="21"/>
                <w:szCs w:val="21"/>
                <w:highlight w:val="none"/>
              </w:rPr>
              <w:t>提供应急医疗器械包，供</w:t>
            </w:r>
            <w:r>
              <w:rPr>
                <w:rFonts w:hint="eastAsia" w:ascii="宋体" w:hAnsi="宋体" w:eastAsia="宋体" w:cs="宋体"/>
                <w:color w:val="auto"/>
                <w:kern w:val="2"/>
                <w:sz w:val="21"/>
                <w:szCs w:val="21"/>
                <w:highlight w:val="none"/>
                <w:lang w:eastAsia="zh-CN"/>
              </w:rPr>
              <w:t>采购人</w:t>
            </w:r>
            <w:r>
              <w:rPr>
                <w:rFonts w:hint="eastAsia" w:ascii="宋体" w:hAnsi="宋体" w:eastAsia="宋体" w:cs="宋体"/>
                <w:color w:val="auto"/>
                <w:kern w:val="2"/>
                <w:sz w:val="21"/>
                <w:szCs w:val="21"/>
                <w:highlight w:val="none"/>
              </w:rPr>
              <w:t>单次使用。</w:t>
            </w:r>
          </w:p>
        </w:tc>
      </w:tr>
      <w:tr w14:paraId="4430B95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181" w:hRule="atLeast"/>
          <w:jc w:val="center"/>
        </w:trPr>
        <w:tc>
          <w:tcPr>
            <w:tcW w:w="10023" w:type="dxa"/>
            <w:gridSpan w:val="5"/>
            <w:noWrap w:val="0"/>
            <w:vAlign w:val="center"/>
          </w:tcPr>
          <w:p w14:paraId="6FDD3700">
            <w:pPr>
              <w:keepNext w:val="0"/>
              <w:keepLines w:val="0"/>
              <w:pageBreakBefore w:val="0"/>
              <w:widowControl w:val="0"/>
              <w:kinsoku/>
              <w:wordWrap/>
              <w:overflowPunct/>
              <w:topLinePunct w:val="0"/>
              <w:autoSpaceDE/>
              <w:autoSpaceDN/>
              <w:bidi w:val="0"/>
              <w:adjustRightInd/>
              <w:snapToGrid/>
              <w:spacing w:line="360" w:lineRule="auto"/>
              <w:textAlignment w:val="auto"/>
              <w:rPr>
                <w:rFonts w:hint="eastAsia" w:ascii="宋体" w:hAnsi="宋体" w:eastAsia="宋体" w:cs="宋体"/>
                <w:color w:val="auto"/>
                <w:kern w:val="2"/>
                <w:sz w:val="21"/>
                <w:szCs w:val="21"/>
                <w:highlight w:val="none"/>
              </w:rPr>
            </w:pPr>
            <w:r>
              <w:rPr>
                <w:rFonts w:hint="eastAsia" w:ascii="宋体" w:hAnsi="宋体" w:eastAsia="宋体" w:cs="宋体"/>
                <w:color w:val="auto"/>
                <w:kern w:val="2"/>
                <w:sz w:val="21"/>
                <w:szCs w:val="21"/>
                <w:highlight w:val="none"/>
              </w:rPr>
              <w:t>注：</w:t>
            </w:r>
          </w:p>
          <w:p w14:paraId="1BC9D43D">
            <w:pPr>
              <w:keepNext w:val="0"/>
              <w:keepLines w:val="0"/>
              <w:pageBreakBefore w:val="0"/>
              <w:widowControl w:val="0"/>
              <w:numPr>
                <w:ilvl w:val="0"/>
                <w:numId w:val="4"/>
              </w:numPr>
              <w:kinsoku/>
              <w:wordWrap/>
              <w:overflowPunct/>
              <w:topLinePunct w:val="0"/>
              <w:autoSpaceDE/>
              <w:autoSpaceDN/>
              <w:bidi w:val="0"/>
              <w:adjustRightInd/>
              <w:snapToGrid/>
              <w:spacing w:line="360" w:lineRule="auto"/>
              <w:ind w:left="420" w:hanging="420"/>
              <w:textAlignment w:val="auto"/>
              <w:rPr>
                <w:rFonts w:hint="eastAsia" w:ascii="宋体" w:hAnsi="宋体" w:eastAsia="宋体" w:cs="宋体"/>
                <w:color w:val="auto"/>
                <w:kern w:val="2"/>
                <w:sz w:val="21"/>
                <w:szCs w:val="21"/>
                <w:highlight w:val="none"/>
              </w:rPr>
            </w:pPr>
            <w:r>
              <w:rPr>
                <w:rFonts w:hint="eastAsia" w:ascii="宋体" w:hAnsi="宋体" w:eastAsia="宋体" w:cs="宋体"/>
                <w:color w:val="auto"/>
                <w:kern w:val="2"/>
                <w:sz w:val="21"/>
                <w:szCs w:val="21"/>
                <w:highlight w:val="none"/>
              </w:rPr>
              <w:t>全流程高温灭菌器械：</w:t>
            </w:r>
            <w:r>
              <w:rPr>
                <w:rFonts w:hint="eastAsia" w:ascii="宋体" w:hAnsi="宋体" w:eastAsia="宋体" w:cs="宋体"/>
                <w:color w:val="auto"/>
                <w:kern w:val="2"/>
                <w:sz w:val="21"/>
                <w:szCs w:val="21"/>
                <w:highlight w:val="none"/>
                <w:lang w:val="en-US" w:eastAsia="zh-CN"/>
              </w:rPr>
              <w:t>累计</w:t>
            </w:r>
            <w:r>
              <w:rPr>
                <w:rFonts w:hint="eastAsia" w:ascii="宋体" w:hAnsi="宋体" w:eastAsia="宋体" w:cs="宋体"/>
                <w:color w:val="auto"/>
                <w:kern w:val="2"/>
                <w:sz w:val="21"/>
                <w:szCs w:val="21"/>
                <w:highlight w:val="none"/>
              </w:rPr>
              <w:t>清洗消毒数量≤</w:t>
            </w:r>
            <w:r>
              <w:rPr>
                <w:rFonts w:hint="eastAsia" w:hAnsi="宋体" w:cs="宋体"/>
                <w:color w:val="auto"/>
                <w:kern w:val="2"/>
                <w:sz w:val="21"/>
                <w:szCs w:val="21"/>
                <w:highlight w:val="none"/>
                <w:lang w:val="en-US" w:eastAsia="zh-CN"/>
              </w:rPr>
              <w:t>50</w:t>
            </w:r>
            <w:r>
              <w:rPr>
                <w:rFonts w:hint="eastAsia" w:ascii="宋体" w:hAnsi="宋体" w:eastAsia="宋体" w:cs="宋体"/>
                <w:color w:val="auto"/>
                <w:kern w:val="2"/>
                <w:sz w:val="21"/>
                <w:szCs w:val="21"/>
                <w:highlight w:val="none"/>
              </w:rPr>
              <w:t>万件时，按中标单价进行结算；</w:t>
            </w:r>
            <w:r>
              <w:rPr>
                <w:rFonts w:hint="eastAsia" w:ascii="宋体" w:hAnsi="宋体" w:eastAsia="宋体" w:cs="宋体"/>
                <w:color w:val="auto"/>
                <w:kern w:val="2"/>
                <w:sz w:val="21"/>
                <w:szCs w:val="21"/>
                <w:highlight w:val="none"/>
                <w:lang w:val="en-US" w:eastAsia="zh-CN"/>
              </w:rPr>
              <w:t>累计</w:t>
            </w:r>
            <w:r>
              <w:rPr>
                <w:rFonts w:hint="eastAsia" w:ascii="宋体" w:hAnsi="宋体" w:eastAsia="宋体" w:cs="宋体"/>
                <w:color w:val="auto"/>
                <w:kern w:val="2"/>
                <w:sz w:val="21"/>
                <w:szCs w:val="21"/>
                <w:highlight w:val="none"/>
              </w:rPr>
              <w:t>清洗消毒数量＞</w:t>
            </w:r>
            <w:r>
              <w:rPr>
                <w:rFonts w:hint="eastAsia" w:hAnsi="宋体" w:cs="宋体"/>
                <w:color w:val="auto"/>
                <w:kern w:val="2"/>
                <w:sz w:val="21"/>
                <w:szCs w:val="21"/>
                <w:highlight w:val="none"/>
                <w:lang w:val="en-US" w:eastAsia="zh-CN"/>
              </w:rPr>
              <w:t>50</w:t>
            </w:r>
            <w:r>
              <w:rPr>
                <w:rFonts w:hint="eastAsia" w:ascii="宋体" w:hAnsi="宋体" w:eastAsia="宋体" w:cs="宋体"/>
                <w:color w:val="auto"/>
                <w:kern w:val="2"/>
                <w:sz w:val="21"/>
                <w:szCs w:val="21"/>
                <w:highlight w:val="none"/>
              </w:rPr>
              <w:t>万件时，超过部分按中标单价9折</w:t>
            </w:r>
            <w:r>
              <w:rPr>
                <w:rFonts w:hint="eastAsia" w:ascii="宋体" w:hAnsi="宋体" w:eastAsia="宋体" w:cs="宋体"/>
                <w:color w:val="auto"/>
                <w:kern w:val="2"/>
                <w:sz w:val="21"/>
                <w:szCs w:val="21"/>
                <w:highlight w:val="none"/>
                <w:lang w:eastAsia="zh-CN"/>
              </w:rPr>
              <w:t>（</w:t>
            </w:r>
            <w:r>
              <w:rPr>
                <w:rFonts w:hint="eastAsia" w:ascii="宋体" w:hAnsi="宋体" w:eastAsia="宋体" w:cs="宋体"/>
                <w:color w:val="auto"/>
                <w:kern w:val="2"/>
                <w:sz w:val="21"/>
                <w:szCs w:val="21"/>
                <w:highlight w:val="none"/>
                <w:lang w:val="en-US" w:eastAsia="zh-CN"/>
              </w:rPr>
              <w:t>即结算价=</w:t>
            </w:r>
            <w:r>
              <w:rPr>
                <w:rFonts w:hint="eastAsia" w:ascii="宋体" w:hAnsi="宋体" w:eastAsia="宋体" w:cs="宋体"/>
                <w:color w:val="auto"/>
                <w:kern w:val="2"/>
                <w:sz w:val="21"/>
                <w:szCs w:val="21"/>
                <w:highlight w:val="none"/>
              </w:rPr>
              <w:t>中标单价</w:t>
            </w:r>
            <w:r>
              <w:rPr>
                <w:rFonts w:hint="eastAsia" w:ascii="宋体" w:hAnsi="宋体" w:eastAsia="宋体" w:cs="宋体"/>
                <w:color w:val="auto"/>
                <w:kern w:val="2"/>
                <w:sz w:val="21"/>
                <w:szCs w:val="21"/>
                <w:highlight w:val="none"/>
                <w:lang w:val="en-US" w:eastAsia="zh-CN"/>
              </w:rPr>
              <w:t>×90%</w:t>
            </w:r>
            <w:r>
              <w:rPr>
                <w:rFonts w:hint="eastAsia" w:ascii="宋体" w:hAnsi="宋体" w:eastAsia="宋体" w:cs="宋体"/>
                <w:color w:val="auto"/>
                <w:kern w:val="2"/>
                <w:sz w:val="21"/>
                <w:szCs w:val="21"/>
                <w:highlight w:val="none"/>
                <w:lang w:eastAsia="zh-CN"/>
              </w:rPr>
              <w:t>）</w:t>
            </w:r>
            <w:r>
              <w:rPr>
                <w:rFonts w:hint="eastAsia" w:ascii="宋体" w:hAnsi="宋体" w:eastAsia="宋体" w:cs="宋体"/>
                <w:color w:val="auto"/>
                <w:kern w:val="2"/>
                <w:sz w:val="21"/>
                <w:szCs w:val="21"/>
                <w:highlight w:val="none"/>
              </w:rPr>
              <w:t>进行结算。</w:t>
            </w:r>
          </w:p>
          <w:p w14:paraId="72A091C2">
            <w:pPr>
              <w:keepNext w:val="0"/>
              <w:keepLines w:val="0"/>
              <w:pageBreakBefore w:val="0"/>
              <w:widowControl w:val="0"/>
              <w:numPr>
                <w:ilvl w:val="0"/>
                <w:numId w:val="4"/>
              </w:numPr>
              <w:kinsoku/>
              <w:wordWrap/>
              <w:overflowPunct/>
              <w:topLinePunct w:val="0"/>
              <w:autoSpaceDE/>
              <w:autoSpaceDN/>
              <w:bidi w:val="0"/>
              <w:adjustRightInd/>
              <w:snapToGrid/>
              <w:spacing w:line="360" w:lineRule="auto"/>
              <w:ind w:left="420" w:hanging="420"/>
              <w:textAlignment w:val="auto"/>
              <w:rPr>
                <w:rFonts w:hint="eastAsia" w:ascii="宋体" w:hAnsi="宋体" w:eastAsia="宋体" w:cs="宋体"/>
                <w:color w:val="auto"/>
                <w:kern w:val="2"/>
                <w:sz w:val="21"/>
                <w:szCs w:val="21"/>
                <w:highlight w:val="none"/>
                <w:lang w:val="en-US" w:eastAsia="zh-CN"/>
              </w:rPr>
            </w:pPr>
            <w:r>
              <w:rPr>
                <w:rFonts w:hint="eastAsia" w:ascii="宋体" w:hAnsi="宋体" w:eastAsia="宋体" w:cs="宋体"/>
                <w:color w:val="auto"/>
                <w:kern w:val="2"/>
                <w:sz w:val="21"/>
                <w:szCs w:val="21"/>
                <w:highlight w:val="none"/>
              </w:rPr>
              <w:t>其他类型消毒：根据实际发生的数量，按中标单价进行结算。</w:t>
            </w:r>
          </w:p>
        </w:tc>
      </w:tr>
    </w:tbl>
    <w:p w14:paraId="4236AB9F">
      <w:pPr>
        <w:keepNext w:val="0"/>
        <w:keepLines w:val="0"/>
        <w:pageBreakBefore w:val="0"/>
        <w:widowControl w:val="0"/>
        <w:numPr>
          <w:ilvl w:val="0"/>
          <w:numId w:val="0"/>
        </w:numPr>
        <w:kinsoku/>
        <w:wordWrap/>
        <w:overflowPunct/>
        <w:topLinePunct w:val="0"/>
        <w:autoSpaceDE/>
        <w:autoSpaceDN/>
        <w:bidi w:val="0"/>
        <w:adjustRightInd/>
        <w:snapToGrid/>
        <w:spacing w:line="360" w:lineRule="auto"/>
        <w:ind w:leftChars="0" w:firstLine="420" w:firstLineChars="200"/>
        <w:jc w:val="left"/>
        <w:textAlignment w:val="auto"/>
        <w:rPr>
          <w:rFonts w:hint="eastAsia" w:ascii="宋体" w:hAnsi="宋体" w:eastAsia="宋体" w:cs="宋体"/>
          <w:bCs/>
          <w:color w:val="auto"/>
          <w:kern w:val="2"/>
          <w:sz w:val="21"/>
          <w:szCs w:val="21"/>
          <w:highlight w:val="none"/>
        </w:rPr>
      </w:pPr>
      <w:r>
        <w:rPr>
          <w:rFonts w:hint="eastAsia" w:ascii="宋体" w:hAnsi="宋体" w:eastAsia="宋体" w:cs="宋体"/>
          <w:bCs/>
          <w:color w:val="auto"/>
          <w:kern w:val="2"/>
          <w:sz w:val="21"/>
          <w:szCs w:val="21"/>
          <w:highlight w:val="none"/>
          <w:lang w:val="en-US" w:eastAsia="zh-CN"/>
        </w:rPr>
        <w:t>2.投标</w:t>
      </w:r>
      <w:r>
        <w:rPr>
          <w:rFonts w:hint="eastAsia" w:ascii="宋体" w:hAnsi="宋体" w:eastAsia="宋体" w:cs="宋体"/>
          <w:bCs/>
          <w:color w:val="auto"/>
          <w:kern w:val="2"/>
          <w:sz w:val="21"/>
          <w:szCs w:val="21"/>
          <w:highlight w:val="none"/>
        </w:rPr>
        <w:t>报价要求: 投标报价包含清洗、包装</w:t>
      </w:r>
      <w:r>
        <w:rPr>
          <w:rFonts w:hint="eastAsia" w:ascii="宋体" w:hAnsi="宋体" w:eastAsia="宋体" w:cs="宋体"/>
          <w:bCs/>
          <w:color w:val="auto"/>
          <w:kern w:val="2"/>
          <w:sz w:val="21"/>
          <w:szCs w:val="21"/>
          <w:highlight w:val="none"/>
          <w:lang w:val="en-US" w:eastAsia="zh-CN"/>
        </w:rPr>
        <w:t>及</w:t>
      </w:r>
      <w:r>
        <w:rPr>
          <w:rFonts w:hint="eastAsia" w:ascii="宋体" w:hAnsi="宋体" w:eastAsia="宋体" w:cs="宋体"/>
          <w:bCs/>
          <w:color w:val="auto"/>
          <w:kern w:val="2"/>
          <w:sz w:val="21"/>
          <w:szCs w:val="21"/>
          <w:highlight w:val="none"/>
        </w:rPr>
        <w:t>灭菌所需的</w:t>
      </w:r>
      <w:r>
        <w:rPr>
          <w:rFonts w:hint="eastAsia" w:ascii="宋体" w:hAnsi="宋体" w:eastAsia="宋体" w:cs="宋体"/>
          <w:bCs/>
          <w:color w:val="auto"/>
          <w:kern w:val="2"/>
          <w:sz w:val="21"/>
          <w:szCs w:val="21"/>
          <w:highlight w:val="none"/>
          <w:lang w:val="en-US" w:eastAsia="zh-CN"/>
        </w:rPr>
        <w:t>耗材</w:t>
      </w:r>
      <w:r>
        <w:rPr>
          <w:rFonts w:hint="eastAsia" w:ascii="宋体" w:hAnsi="宋体" w:eastAsia="宋体" w:cs="宋体"/>
          <w:bCs/>
          <w:color w:val="auto"/>
          <w:kern w:val="2"/>
          <w:sz w:val="21"/>
          <w:szCs w:val="21"/>
          <w:highlight w:val="none"/>
        </w:rPr>
        <w:t>、包内外指示卡（代灭菌包除外）、各类化学、生物监测包及监测所需的相应设备、包外标签、运输、税收、利润</w:t>
      </w:r>
      <w:r>
        <w:rPr>
          <w:rFonts w:hint="eastAsia" w:ascii="宋体" w:hAnsi="宋体" w:eastAsia="宋体" w:cs="宋体"/>
          <w:bCs/>
          <w:color w:val="auto"/>
          <w:kern w:val="2"/>
          <w:sz w:val="21"/>
          <w:szCs w:val="21"/>
          <w:highlight w:val="none"/>
          <w:lang w:val="en-US" w:eastAsia="zh-CN"/>
        </w:rPr>
        <w:t>及</w:t>
      </w:r>
      <w:r>
        <w:rPr>
          <w:rFonts w:hint="eastAsia" w:ascii="宋体" w:hAnsi="宋体" w:eastAsia="宋体" w:cs="宋体"/>
          <w:bCs/>
          <w:color w:val="auto"/>
          <w:kern w:val="2"/>
          <w:sz w:val="21"/>
          <w:szCs w:val="21"/>
          <w:highlight w:val="none"/>
        </w:rPr>
        <w:t>为实现本项目采购目标所发生的</w:t>
      </w:r>
      <w:r>
        <w:rPr>
          <w:rFonts w:hint="eastAsia" w:ascii="宋体" w:hAnsi="宋体" w:eastAsia="宋体" w:cs="宋体"/>
          <w:bCs/>
          <w:color w:val="auto"/>
          <w:kern w:val="2"/>
          <w:sz w:val="21"/>
          <w:szCs w:val="21"/>
          <w:highlight w:val="none"/>
          <w:lang w:val="en-US" w:eastAsia="zh-CN"/>
        </w:rPr>
        <w:t>应预见和</w:t>
      </w:r>
      <w:r>
        <w:rPr>
          <w:rFonts w:hint="eastAsia" w:ascii="宋体" w:hAnsi="宋体" w:eastAsia="宋体" w:cs="宋体"/>
          <w:bCs/>
          <w:color w:val="auto"/>
          <w:kern w:val="2"/>
          <w:sz w:val="21"/>
          <w:szCs w:val="21"/>
          <w:highlight w:val="none"/>
        </w:rPr>
        <w:t>不可预见的其他费用等在内的全部费用。</w:t>
      </w:r>
      <w:r>
        <w:rPr>
          <w:rFonts w:hint="eastAsia" w:ascii="宋体" w:hAnsi="宋体" w:eastAsia="宋体" w:cs="宋体"/>
          <w:bCs/>
          <w:color w:val="auto"/>
          <w:kern w:val="2"/>
          <w:sz w:val="21"/>
          <w:szCs w:val="21"/>
          <w:highlight w:val="none"/>
          <w:lang w:val="en-US" w:eastAsia="zh-CN"/>
        </w:rPr>
        <w:t>投标人</w:t>
      </w:r>
      <w:r>
        <w:rPr>
          <w:rFonts w:hint="eastAsia" w:ascii="宋体" w:hAnsi="宋体" w:eastAsia="宋体" w:cs="宋体"/>
          <w:bCs/>
          <w:color w:val="auto"/>
          <w:kern w:val="2"/>
          <w:sz w:val="21"/>
          <w:szCs w:val="21"/>
          <w:highlight w:val="none"/>
        </w:rPr>
        <w:t>漏报或者不报，采购人将视为该漏报或者不报部分的费用已包括在已报的</w:t>
      </w:r>
      <w:r>
        <w:rPr>
          <w:rFonts w:hint="eastAsia" w:ascii="宋体" w:hAnsi="宋体" w:eastAsia="宋体" w:cs="宋体"/>
          <w:bCs/>
          <w:color w:val="auto"/>
          <w:kern w:val="2"/>
          <w:sz w:val="21"/>
          <w:szCs w:val="21"/>
          <w:highlight w:val="none"/>
          <w:lang w:val="en-US" w:eastAsia="zh-CN"/>
        </w:rPr>
        <w:t>投标</w:t>
      </w:r>
      <w:r>
        <w:rPr>
          <w:rFonts w:hint="eastAsia" w:ascii="宋体" w:hAnsi="宋体" w:eastAsia="宋体" w:cs="宋体"/>
          <w:bCs/>
          <w:color w:val="auto"/>
          <w:kern w:val="2"/>
          <w:sz w:val="21"/>
          <w:szCs w:val="21"/>
          <w:highlight w:val="none"/>
        </w:rPr>
        <w:t>报价中而不予支付。除合同另有约定外，采购人不再支付合同价外的任</w:t>
      </w:r>
      <w:bookmarkStart w:id="14" w:name="_GoBack"/>
      <w:bookmarkEnd w:id="14"/>
      <w:r>
        <w:rPr>
          <w:rFonts w:hint="eastAsia" w:ascii="宋体" w:hAnsi="宋体" w:eastAsia="宋体" w:cs="宋体"/>
          <w:bCs/>
          <w:color w:val="auto"/>
          <w:kern w:val="2"/>
          <w:sz w:val="21"/>
          <w:szCs w:val="21"/>
          <w:highlight w:val="none"/>
        </w:rPr>
        <w:t>何费用。</w:t>
      </w:r>
    </w:p>
    <w:p w14:paraId="65774469">
      <w:pPr>
        <w:keepNext w:val="0"/>
        <w:keepLines w:val="0"/>
        <w:pageBreakBefore w:val="0"/>
        <w:widowControl w:val="0"/>
        <w:numPr>
          <w:ilvl w:val="0"/>
          <w:numId w:val="0"/>
        </w:numPr>
        <w:kinsoku/>
        <w:wordWrap/>
        <w:overflowPunct/>
        <w:topLinePunct w:val="0"/>
        <w:autoSpaceDE/>
        <w:autoSpaceDN/>
        <w:bidi w:val="0"/>
        <w:adjustRightInd/>
        <w:snapToGrid/>
        <w:spacing w:line="360" w:lineRule="auto"/>
        <w:ind w:leftChars="0" w:firstLine="420" w:firstLineChars="200"/>
        <w:jc w:val="left"/>
        <w:textAlignment w:val="auto"/>
        <w:rPr>
          <w:rFonts w:hint="eastAsia" w:ascii="宋体" w:hAnsi="宋体" w:eastAsia="宋体" w:cs="宋体"/>
          <w:bCs/>
          <w:color w:val="auto"/>
          <w:kern w:val="2"/>
          <w:sz w:val="21"/>
          <w:szCs w:val="21"/>
          <w:highlight w:val="none"/>
        </w:rPr>
      </w:pPr>
      <w:r>
        <w:rPr>
          <w:rFonts w:hint="eastAsia" w:ascii="宋体" w:hAnsi="宋体" w:eastAsia="宋体" w:cs="宋体"/>
          <w:bCs/>
          <w:color w:val="auto"/>
          <w:kern w:val="2"/>
          <w:sz w:val="21"/>
          <w:szCs w:val="21"/>
          <w:highlight w:val="none"/>
          <w:lang w:val="en-US" w:eastAsia="zh-CN"/>
        </w:rPr>
        <w:t>3.</w:t>
      </w:r>
      <w:r>
        <w:rPr>
          <w:rFonts w:hint="eastAsia" w:ascii="宋体" w:hAnsi="宋体" w:eastAsia="宋体" w:cs="宋体"/>
          <w:bCs/>
          <w:color w:val="auto"/>
          <w:kern w:val="2"/>
          <w:sz w:val="21"/>
          <w:szCs w:val="21"/>
          <w:highlight w:val="none"/>
        </w:rPr>
        <w:t>服务期限：</w:t>
      </w:r>
      <w:r>
        <w:rPr>
          <w:rFonts w:hint="eastAsia" w:ascii="宋体" w:hAnsi="宋体" w:eastAsia="宋体" w:cs="宋体"/>
          <w:b w:val="0"/>
          <w:bCs/>
          <w:color w:val="auto"/>
          <w:kern w:val="2"/>
          <w:sz w:val="21"/>
          <w:szCs w:val="21"/>
          <w:highlight w:val="none"/>
          <w:lang w:val="en-US" w:eastAsia="zh-CN"/>
        </w:rPr>
        <w:t>自合同签订之日起2年，</w:t>
      </w:r>
      <w:r>
        <w:rPr>
          <w:rFonts w:hint="eastAsia" w:ascii="宋体" w:hAnsi="宋体" w:eastAsia="宋体" w:cs="宋体"/>
          <w:b w:val="0"/>
          <w:bCs/>
          <w:color w:val="auto"/>
          <w:kern w:val="2"/>
          <w:sz w:val="21"/>
          <w:szCs w:val="21"/>
          <w:highlight w:val="none"/>
        </w:rPr>
        <w:t>采用1+1模式</w:t>
      </w:r>
      <w:r>
        <w:rPr>
          <w:rFonts w:hint="eastAsia" w:ascii="宋体" w:hAnsi="宋体" w:eastAsia="宋体" w:cs="宋体"/>
          <w:bCs/>
          <w:i w:val="0"/>
          <w:iCs w:val="0"/>
          <w:caps w:val="0"/>
          <w:color w:val="auto"/>
          <w:spacing w:val="0"/>
          <w:kern w:val="2"/>
          <w:sz w:val="21"/>
          <w:szCs w:val="21"/>
          <w:highlight w:val="none"/>
          <w:shd w:val="clear" w:color="auto" w:fill="auto"/>
        </w:rPr>
        <w:t>或预算用完（以先到者为准）</w:t>
      </w:r>
      <w:r>
        <w:rPr>
          <w:rFonts w:hint="eastAsia" w:ascii="宋体" w:hAnsi="宋体" w:eastAsia="宋体" w:cs="宋体"/>
          <w:bCs/>
          <w:color w:val="auto"/>
          <w:kern w:val="2"/>
          <w:sz w:val="21"/>
          <w:szCs w:val="21"/>
          <w:highlight w:val="none"/>
        </w:rPr>
        <w:t>。采购人每个季度开展服务</w:t>
      </w:r>
      <w:r>
        <w:rPr>
          <w:rFonts w:hint="eastAsia" w:ascii="宋体" w:hAnsi="宋体" w:eastAsia="宋体" w:cs="宋体"/>
          <w:bCs/>
          <w:color w:val="auto"/>
          <w:kern w:val="2"/>
          <w:sz w:val="21"/>
          <w:szCs w:val="21"/>
          <w:highlight w:val="none"/>
          <w:lang w:val="en-US" w:eastAsia="zh-CN"/>
        </w:rPr>
        <w:t>质量</w:t>
      </w:r>
      <w:r>
        <w:rPr>
          <w:rFonts w:hint="eastAsia" w:ascii="宋体" w:hAnsi="宋体" w:eastAsia="宋体" w:cs="宋体"/>
          <w:bCs/>
          <w:color w:val="auto"/>
          <w:kern w:val="2"/>
          <w:sz w:val="21"/>
          <w:szCs w:val="21"/>
          <w:highlight w:val="none"/>
        </w:rPr>
        <w:t>考核，若</w:t>
      </w:r>
      <w:r>
        <w:rPr>
          <w:rFonts w:hint="eastAsia" w:ascii="宋体" w:hAnsi="宋体" w:eastAsia="宋体" w:cs="宋体"/>
          <w:bCs/>
          <w:color w:val="auto"/>
          <w:kern w:val="2"/>
          <w:sz w:val="21"/>
          <w:szCs w:val="21"/>
          <w:highlight w:val="none"/>
          <w:lang w:val="en-US" w:eastAsia="zh-CN"/>
        </w:rPr>
        <w:t>每季度质量考核总分</w:t>
      </w:r>
      <w:r>
        <w:rPr>
          <w:rFonts w:hint="eastAsia" w:ascii="宋体" w:hAnsi="宋体" w:eastAsia="宋体" w:cs="宋体"/>
          <w:bCs/>
          <w:color w:val="auto"/>
          <w:kern w:val="2"/>
          <w:sz w:val="21"/>
          <w:szCs w:val="21"/>
          <w:highlight w:val="none"/>
        </w:rPr>
        <w:t>低于90分，采购人有权</w:t>
      </w:r>
      <w:r>
        <w:rPr>
          <w:rFonts w:hint="eastAsia" w:ascii="宋体" w:hAnsi="宋体" w:eastAsia="宋体" w:cs="宋体"/>
          <w:bCs/>
          <w:color w:val="auto"/>
          <w:kern w:val="2"/>
          <w:sz w:val="21"/>
          <w:szCs w:val="21"/>
          <w:highlight w:val="none"/>
          <w:lang w:val="en-US" w:eastAsia="zh-CN"/>
        </w:rPr>
        <w:t>责</w:t>
      </w:r>
      <w:r>
        <w:rPr>
          <w:rFonts w:hint="eastAsia" w:ascii="宋体" w:hAnsi="宋体" w:eastAsia="宋体" w:cs="宋体"/>
          <w:bCs/>
          <w:color w:val="auto"/>
          <w:kern w:val="2"/>
          <w:sz w:val="21"/>
          <w:szCs w:val="21"/>
          <w:highlight w:val="none"/>
        </w:rPr>
        <w:t>令中标人限期整改，整改时限为十个日历日；若中标人整改后再次考核</w:t>
      </w:r>
      <w:r>
        <w:rPr>
          <w:rFonts w:hint="eastAsia" w:ascii="宋体" w:hAnsi="宋体" w:eastAsia="宋体" w:cs="宋体"/>
          <w:bCs/>
          <w:color w:val="auto"/>
          <w:kern w:val="2"/>
          <w:sz w:val="21"/>
          <w:szCs w:val="21"/>
          <w:highlight w:val="none"/>
          <w:lang w:val="en-US" w:eastAsia="zh-CN"/>
        </w:rPr>
        <w:t>得分</w:t>
      </w:r>
      <w:r>
        <w:rPr>
          <w:rFonts w:hint="eastAsia" w:ascii="宋体" w:hAnsi="宋体" w:eastAsia="宋体" w:cs="宋体"/>
          <w:bCs/>
          <w:color w:val="auto"/>
          <w:kern w:val="2"/>
          <w:sz w:val="21"/>
          <w:szCs w:val="21"/>
          <w:highlight w:val="none"/>
        </w:rPr>
        <w:t>仍低于90分</w:t>
      </w:r>
      <w:r>
        <w:rPr>
          <w:rFonts w:hint="eastAsia" w:ascii="宋体" w:hAnsi="宋体" w:eastAsia="宋体" w:cs="宋体"/>
          <w:bCs/>
          <w:color w:val="auto"/>
          <w:kern w:val="2"/>
          <w:sz w:val="21"/>
          <w:szCs w:val="21"/>
          <w:highlight w:val="none"/>
          <w:lang w:val="en-US" w:eastAsia="zh-CN"/>
        </w:rPr>
        <w:t>的</w:t>
      </w:r>
      <w:r>
        <w:rPr>
          <w:rFonts w:hint="eastAsia" w:ascii="宋体" w:hAnsi="宋体" w:eastAsia="宋体" w:cs="宋体"/>
          <w:bCs/>
          <w:color w:val="auto"/>
          <w:kern w:val="2"/>
          <w:sz w:val="21"/>
          <w:szCs w:val="21"/>
          <w:highlight w:val="none"/>
        </w:rPr>
        <w:t>，采购人有权终止合同</w:t>
      </w:r>
      <w:r>
        <w:rPr>
          <w:rFonts w:hint="eastAsia" w:ascii="宋体" w:hAnsi="宋体" w:eastAsia="宋体" w:cs="宋体"/>
          <w:bCs/>
          <w:color w:val="auto"/>
          <w:kern w:val="2"/>
          <w:sz w:val="21"/>
          <w:szCs w:val="21"/>
          <w:highlight w:val="none"/>
          <w:lang w:val="en-US" w:eastAsia="zh-CN"/>
        </w:rPr>
        <w:t>且不承担违约责任</w:t>
      </w:r>
      <w:r>
        <w:rPr>
          <w:rFonts w:hint="eastAsia" w:ascii="宋体" w:hAnsi="宋体" w:eastAsia="宋体" w:cs="宋体"/>
          <w:bCs/>
          <w:color w:val="auto"/>
          <w:kern w:val="2"/>
          <w:sz w:val="21"/>
          <w:szCs w:val="21"/>
          <w:highlight w:val="none"/>
        </w:rPr>
        <w:t>。</w:t>
      </w:r>
      <w:r>
        <w:rPr>
          <w:rFonts w:hint="eastAsia" w:ascii="宋体" w:hAnsi="宋体" w:eastAsia="宋体" w:cs="宋体"/>
          <w:bCs/>
          <w:color w:val="auto"/>
          <w:kern w:val="2"/>
          <w:sz w:val="21"/>
          <w:szCs w:val="21"/>
          <w:highlight w:val="none"/>
          <w:lang w:val="en-US" w:eastAsia="zh-CN"/>
        </w:rPr>
        <w:t>一年期合同到期前2个月进行年度考核：年度考核综合得分=年终考核得分（占比60%）+季度考核平均得分（占比40%），年度考核综合得分≥90</w:t>
      </w:r>
      <w:r>
        <w:rPr>
          <w:rFonts w:hint="eastAsia" w:ascii="宋体" w:hAnsi="宋体" w:eastAsia="宋体" w:cs="宋体"/>
          <w:bCs/>
          <w:color w:val="auto"/>
          <w:kern w:val="2"/>
          <w:sz w:val="21"/>
          <w:szCs w:val="21"/>
          <w:highlight w:val="none"/>
        </w:rPr>
        <w:t>分</w:t>
      </w:r>
      <w:r>
        <w:rPr>
          <w:rFonts w:hint="eastAsia" w:ascii="宋体" w:hAnsi="宋体" w:eastAsia="宋体" w:cs="宋体"/>
          <w:bCs/>
          <w:color w:val="auto"/>
          <w:kern w:val="2"/>
          <w:sz w:val="21"/>
          <w:szCs w:val="21"/>
          <w:highlight w:val="none"/>
          <w:lang w:val="en-US" w:eastAsia="zh-CN"/>
        </w:rPr>
        <w:t>且双方无异议可续签一年。</w:t>
      </w:r>
    </w:p>
    <w:p w14:paraId="4648FD61">
      <w:pPr>
        <w:keepNext w:val="0"/>
        <w:keepLines w:val="0"/>
        <w:pageBreakBefore w:val="0"/>
        <w:widowControl w:val="0"/>
        <w:numPr>
          <w:ilvl w:val="0"/>
          <w:numId w:val="0"/>
        </w:numPr>
        <w:kinsoku/>
        <w:wordWrap/>
        <w:overflowPunct/>
        <w:topLinePunct w:val="0"/>
        <w:autoSpaceDE/>
        <w:autoSpaceDN/>
        <w:bidi w:val="0"/>
        <w:adjustRightInd/>
        <w:snapToGrid/>
        <w:spacing w:line="360" w:lineRule="auto"/>
        <w:ind w:leftChars="0" w:firstLine="420" w:firstLineChars="200"/>
        <w:jc w:val="left"/>
        <w:textAlignment w:val="auto"/>
        <w:rPr>
          <w:rFonts w:hint="eastAsia" w:ascii="宋体" w:hAnsi="宋体" w:eastAsia="宋体" w:cs="宋体"/>
          <w:bCs/>
          <w:color w:val="auto"/>
          <w:kern w:val="2"/>
          <w:sz w:val="21"/>
          <w:szCs w:val="21"/>
          <w:highlight w:val="none"/>
        </w:rPr>
      </w:pPr>
      <w:r>
        <w:rPr>
          <w:rFonts w:hint="eastAsia" w:ascii="宋体" w:hAnsi="宋体" w:eastAsia="宋体" w:cs="宋体"/>
          <w:bCs/>
          <w:color w:val="auto"/>
          <w:kern w:val="2"/>
          <w:sz w:val="21"/>
          <w:szCs w:val="21"/>
          <w:highlight w:val="none"/>
          <w:lang w:val="en-US" w:eastAsia="zh-CN"/>
        </w:rPr>
        <w:t>4.</w:t>
      </w:r>
      <w:r>
        <w:rPr>
          <w:rFonts w:hint="eastAsia" w:ascii="宋体" w:hAnsi="宋体" w:eastAsia="宋体" w:cs="宋体"/>
          <w:bCs/>
          <w:color w:val="auto"/>
          <w:kern w:val="2"/>
          <w:sz w:val="21"/>
          <w:szCs w:val="21"/>
          <w:highlight w:val="none"/>
        </w:rPr>
        <w:t>服务地点：珠海市</w:t>
      </w:r>
      <w:r>
        <w:rPr>
          <w:rFonts w:hint="eastAsia" w:ascii="宋体" w:hAnsi="宋体" w:eastAsia="宋体" w:cs="宋体"/>
          <w:bCs/>
          <w:color w:val="auto"/>
          <w:kern w:val="2"/>
          <w:sz w:val="21"/>
          <w:szCs w:val="21"/>
          <w:highlight w:val="none"/>
          <w:lang w:val="en-US" w:eastAsia="zh-CN"/>
        </w:rPr>
        <w:t>中西医结合</w:t>
      </w:r>
      <w:r>
        <w:rPr>
          <w:rFonts w:hint="eastAsia" w:ascii="宋体" w:hAnsi="宋体" w:eastAsia="宋体" w:cs="宋体"/>
          <w:bCs/>
          <w:color w:val="auto"/>
          <w:kern w:val="2"/>
          <w:sz w:val="21"/>
          <w:szCs w:val="21"/>
          <w:highlight w:val="none"/>
        </w:rPr>
        <w:t>医院指定地点</w:t>
      </w:r>
      <w:r>
        <w:rPr>
          <w:rFonts w:hint="eastAsia" w:ascii="宋体" w:hAnsi="宋体" w:eastAsia="宋体" w:cs="宋体"/>
          <w:bCs/>
          <w:color w:val="auto"/>
          <w:kern w:val="2"/>
          <w:sz w:val="21"/>
          <w:szCs w:val="21"/>
          <w:highlight w:val="none"/>
          <w:lang w:eastAsia="zh-CN"/>
        </w:rPr>
        <w:t>。</w:t>
      </w:r>
    </w:p>
    <w:p w14:paraId="29D1399A">
      <w:pPr>
        <w:keepNext w:val="0"/>
        <w:keepLines w:val="0"/>
        <w:pageBreakBefore w:val="0"/>
        <w:widowControl w:val="0"/>
        <w:numPr>
          <w:ilvl w:val="0"/>
          <w:numId w:val="0"/>
        </w:numPr>
        <w:kinsoku/>
        <w:wordWrap/>
        <w:overflowPunct/>
        <w:topLinePunct w:val="0"/>
        <w:autoSpaceDE/>
        <w:autoSpaceDN/>
        <w:bidi w:val="0"/>
        <w:adjustRightInd/>
        <w:snapToGrid/>
        <w:spacing w:line="360" w:lineRule="auto"/>
        <w:ind w:leftChars="0" w:firstLine="420" w:firstLineChars="200"/>
        <w:jc w:val="left"/>
        <w:textAlignment w:val="auto"/>
        <w:rPr>
          <w:rFonts w:hint="eastAsia" w:ascii="宋体" w:hAnsi="宋体" w:eastAsia="宋体" w:cs="宋体"/>
          <w:color w:val="auto"/>
          <w:kern w:val="2"/>
          <w:sz w:val="21"/>
          <w:szCs w:val="21"/>
          <w:highlight w:val="none"/>
        </w:rPr>
      </w:pPr>
      <w:r>
        <w:rPr>
          <w:rFonts w:hint="eastAsia" w:ascii="宋体" w:hAnsi="宋体" w:eastAsia="宋体" w:cs="宋体"/>
          <w:bCs/>
          <w:color w:val="auto"/>
          <w:kern w:val="2"/>
          <w:sz w:val="21"/>
          <w:szCs w:val="21"/>
          <w:highlight w:val="none"/>
          <w:lang w:val="en-US" w:eastAsia="zh-CN"/>
        </w:rPr>
        <w:t>5.</w:t>
      </w:r>
      <w:r>
        <w:rPr>
          <w:rFonts w:hint="eastAsia" w:ascii="宋体" w:hAnsi="宋体" w:eastAsia="宋体" w:cs="宋体"/>
          <w:bCs/>
          <w:color w:val="auto"/>
          <w:kern w:val="2"/>
          <w:sz w:val="21"/>
          <w:szCs w:val="21"/>
          <w:highlight w:val="none"/>
        </w:rPr>
        <w:t>付款方式：按月</w:t>
      </w:r>
      <w:r>
        <w:rPr>
          <w:rFonts w:hint="eastAsia" w:ascii="宋体" w:hAnsi="宋体" w:eastAsia="宋体" w:cs="宋体"/>
          <w:bCs/>
          <w:color w:val="auto"/>
          <w:kern w:val="2"/>
          <w:sz w:val="21"/>
          <w:szCs w:val="21"/>
          <w:highlight w:val="none"/>
          <w:lang w:val="en-US" w:eastAsia="zh-CN"/>
        </w:rPr>
        <w:t>据实</w:t>
      </w:r>
      <w:r>
        <w:rPr>
          <w:rFonts w:hint="eastAsia" w:ascii="宋体" w:hAnsi="宋体" w:eastAsia="宋体" w:cs="宋体"/>
          <w:bCs/>
          <w:color w:val="auto"/>
          <w:kern w:val="2"/>
          <w:sz w:val="21"/>
          <w:szCs w:val="21"/>
          <w:highlight w:val="none"/>
        </w:rPr>
        <w:t>付款</w:t>
      </w:r>
      <w:r>
        <w:rPr>
          <w:rFonts w:hint="eastAsia" w:ascii="宋体" w:hAnsi="宋体" w:eastAsia="宋体" w:cs="宋体"/>
          <w:bCs/>
          <w:color w:val="auto"/>
          <w:kern w:val="2"/>
          <w:sz w:val="21"/>
          <w:szCs w:val="21"/>
          <w:highlight w:val="none"/>
          <w:lang w:eastAsia="zh-CN"/>
        </w:rPr>
        <w:t>（</w:t>
      </w:r>
      <w:r>
        <w:rPr>
          <w:rFonts w:hint="eastAsia" w:ascii="宋体" w:hAnsi="宋体" w:eastAsia="宋体" w:cs="宋体"/>
          <w:bCs/>
          <w:color w:val="auto"/>
          <w:kern w:val="2"/>
          <w:sz w:val="21"/>
          <w:szCs w:val="21"/>
          <w:highlight w:val="none"/>
          <w:lang w:val="en-US" w:eastAsia="zh-CN"/>
        </w:rPr>
        <w:t>同时扣减违约</w:t>
      </w:r>
      <w:r>
        <w:rPr>
          <w:rFonts w:hint="eastAsia" w:ascii="宋体" w:hAnsi="宋体" w:eastAsia="宋体" w:cs="宋体"/>
          <w:bCs/>
          <w:color w:val="auto"/>
          <w:kern w:val="2"/>
          <w:sz w:val="21"/>
          <w:szCs w:val="21"/>
          <w:highlight w:val="none"/>
          <w:lang w:eastAsia="zh-CN"/>
        </w:rPr>
        <w:t>经济赔偿</w:t>
      </w:r>
      <w:r>
        <w:rPr>
          <w:rFonts w:hint="eastAsia" w:ascii="宋体" w:hAnsi="宋体" w:eastAsia="宋体" w:cs="宋体"/>
          <w:bCs/>
          <w:color w:val="auto"/>
          <w:kern w:val="2"/>
          <w:sz w:val="21"/>
          <w:szCs w:val="21"/>
          <w:highlight w:val="none"/>
          <w:lang w:val="en-US" w:eastAsia="zh-CN"/>
        </w:rPr>
        <w:t>费用（如有））</w:t>
      </w:r>
      <w:r>
        <w:rPr>
          <w:rFonts w:hint="eastAsia" w:ascii="宋体" w:hAnsi="宋体" w:eastAsia="宋体" w:cs="宋体"/>
          <w:bCs/>
          <w:color w:val="auto"/>
          <w:kern w:val="2"/>
          <w:sz w:val="21"/>
          <w:szCs w:val="21"/>
          <w:highlight w:val="none"/>
        </w:rPr>
        <w:t>。中标人每个月的25</w:t>
      </w:r>
      <w:r>
        <w:rPr>
          <w:rFonts w:hint="eastAsia" w:ascii="宋体" w:hAnsi="宋体" w:eastAsia="宋体" w:cs="宋体"/>
          <w:bCs/>
          <w:color w:val="auto"/>
          <w:kern w:val="2"/>
          <w:sz w:val="21"/>
          <w:szCs w:val="21"/>
          <w:highlight w:val="none"/>
          <w:lang w:val="en-US" w:eastAsia="zh-CN"/>
        </w:rPr>
        <w:t>日</w:t>
      </w:r>
      <w:r>
        <w:rPr>
          <w:rFonts w:hint="eastAsia" w:ascii="宋体" w:hAnsi="宋体" w:eastAsia="宋体" w:cs="宋体"/>
          <w:bCs/>
          <w:color w:val="auto"/>
          <w:kern w:val="2"/>
          <w:sz w:val="21"/>
          <w:szCs w:val="21"/>
          <w:highlight w:val="none"/>
        </w:rPr>
        <w:t>前将当月的服务对账信息以《服务对账单》形式送给采购人，26</w:t>
      </w:r>
      <w:r>
        <w:rPr>
          <w:rFonts w:hint="eastAsia" w:ascii="宋体" w:hAnsi="宋体" w:eastAsia="宋体" w:cs="宋体"/>
          <w:bCs/>
          <w:color w:val="auto"/>
          <w:kern w:val="2"/>
          <w:sz w:val="21"/>
          <w:szCs w:val="21"/>
          <w:highlight w:val="none"/>
          <w:lang w:val="en-US" w:eastAsia="zh-CN"/>
        </w:rPr>
        <w:t>号至本月结束所实际产生的费用</w:t>
      </w:r>
      <w:r>
        <w:rPr>
          <w:rFonts w:hint="eastAsia" w:ascii="宋体" w:hAnsi="宋体" w:eastAsia="宋体" w:cs="宋体"/>
          <w:bCs/>
          <w:color w:val="auto"/>
          <w:kern w:val="2"/>
          <w:sz w:val="21"/>
          <w:szCs w:val="21"/>
          <w:highlight w:val="none"/>
        </w:rPr>
        <w:t>顺延至下月对账单内，采购人在5个工作日内给予确认回复（</w:t>
      </w:r>
      <w:r>
        <w:rPr>
          <w:rFonts w:hint="eastAsia" w:ascii="宋体" w:hAnsi="宋体" w:eastAsia="宋体" w:cs="宋体"/>
          <w:bCs/>
          <w:color w:val="auto"/>
          <w:kern w:val="2"/>
          <w:sz w:val="21"/>
          <w:szCs w:val="21"/>
          <w:highlight w:val="none"/>
          <w:lang w:val="en-US" w:eastAsia="zh-CN"/>
        </w:rPr>
        <w:t>如</w:t>
      </w:r>
      <w:r>
        <w:rPr>
          <w:rFonts w:hint="eastAsia" w:ascii="宋体" w:hAnsi="宋体" w:eastAsia="宋体" w:cs="宋体"/>
          <w:bCs/>
          <w:color w:val="auto"/>
          <w:kern w:val="2"/>
          <w:sz w:val="21"/>
          <w:szCs w:val="21"/>
          <w:highlight w:val="none"/>
        </w:rPr>
        <w:t>遇节假日顺延，以下相同），确认无误后中标人将当月</w:t>
      </w:r>
      <w:r>
        <w:rPr>
          <w:rFonts w:hint="eastAsia" w:ascii="宋体" w:hAnsi="宋体" w:eastAsia="宋体" w:cs="宋体"/>
          <w:bCs/>
          <w:color w:val="auto"/>
          <w:kern w:val="2"/>
          <w:sz w:val="21"/>
          <w:szCs w:val="21"/>
          <w:highlight w:val="none"/>
          <w:lang w:val="en-US" w:eastAsia="zh-CN"/>
        </w:rPr>
        <w:t>实际产生的费用的</w:t>
      </w:r>
      <w:r>
        <w:rPr>
          <w:rFonts w:hint="eastAsia" w:ascii="宋体" w:hAnsi="宋体" w:eastAsia="宋体" w:cs="宋体"/>
          <w:bCs/>
          <w:color w:val="auto"/>
          <w:kern w:val="2"/>
          <w:sz w:val="21"/>
          <w:szCs w:val="21"/>
          <w:highlight w:val="none"/>
        </w:rPr>
        <w:t>发票</w:t>
      </w:r>
      <w:r>
        <w:rPr>
          <w:rFonts w:hint="eastAsia" w:ascii="宋体" w:hAnsi="宋体" w:eastAsia="宋体" w:cs="宋体"/>
          <w:bCs/>
          <w:color w:val="auto"/>
          <w:kern w:val="2"/>
          <w:sz w:val="21"/>
          <w:szCs w:val="21"/>
          <w:highlight w:val="none"/>
          <w:lang w:val="en-US" w:eastAsia="zh-CN"/>
        </w:rPr>
        <w:t>在每个月</w:t>
      </w:r>
      <w:r>
        <w:rPr>
          <w:rFonts w:hint="eastAsia" w:ascii="宋体" w:hAnsi="宋体" w:eastAsia="宋体" w:cs="宋体"/>
          <w:bCs/>
          <w:color w:val="auto"/>
          <w:kern w:val="2"/>
          <w:sz w:val="21"/>
          <w:szCs w:val="21"/>
          <w:highlight w:val="none"/>
        </w:rPr>
        <w:t>的28</w:t>
      </w:r>
      <w:r>
        <w:rPr>
          <w:rFonts w:hint="eastAsia" w:ascii="宋体" w:hAnsi="宋体" w:eastAsia="宋体" w:cs="宋体"/>
          <w:bCs/>
          <w:color w:val="auto"/>
          <w:kern w:val="2"/>
          <w:sz w:val="21"/>
          <w:szCs w:val="21"/>
          <w:highlight w:val="none"/>
          <w:lang w:val="en-US" w:eastAsia="zh-CN"/>
        </w:rPr>
        <w:t>日之</w:t>
      </w:r>
      <w:r>
        <w:rPr>
          <w:rFonts w:hint="eastAsia" w:ascii="宋体" w:hAnsi="宋体" w:eastAsia="宋体" w:cs="宋体"/>
          <w:bCs/>
          <w:color w:val="auto"/>
          <w:kern w:val="2"/>
          <w:sz w:val="21"/>
          <w:szCs w:val="21"/>
          <w:highlight w:val="none"/>
        </w:rPr>
        <w:t>前给采购人，采购人收到发票后</w:t>
      </w:r>
      <w:r>
        <w:rPr>
          <w:rFonts w:hint="eastAsia" w:hAnsi="宋体" w:cs="宋体"/>
          <w:bCs/>
          <w:color w:val="auto"/>
          <w:kern w:val="2"/>
          <w:sz w:val="21"/>
          <w:szCs w:val="21"/>
          <w:highlight w:val="none"/>
          <w:lang w:val="en-US" w:eastAsia="zh-CN"/>
        </w:rPr>
        <w:t>30</w:t>
      </w:r>
      <w:r>
        <w:rPr>
          <w:rFonts w:hint="eastAsia" w:ascii="宋体" w:hAnsi="宋体" w:eastAsia="宋体" w:cs="宋体"/>
          <w:bCs/>
          <w:color w:val="auto"/>
          <w:kern w:val="2"/>
          <w:sz w:val="21"/>
          <w:szCs w:val="21"/>
          <w:highlight w:val="none"/>
        </w:rPr>
        <w:t>个工作日内办理支付中标人服务费用。</w:t>
      </w:r>
    </w:p>
    <w:p w14:paraId="3B0098F9">
      <w:pPr>
        <w:keepNext w:val="0"/>
        <w:keepLines w:val="0"/>
        <w:pageBreakBefore w:val="0"/>
        <w:widowControl w:val="0"/>
        <w:numPr>
          <w:ilvl w:val="0"/>
          <w:numId w:val="0"/>
        </w:numPr>
        <w:kinsoku/>
        <w:wordWrap/>
        <w:overflowPunct/>
        <w:topLinePunct w:val="0"/>
        <w:autoSpaceDE/>
        <w:autoSpaceDN/>
        <w:bidi w:val="0"/>
        <w:adjustRightInd/>
        <w:snapToGrid/>
        <w:spacing w:line="360" w:lineRule="auto"/>
        <w:ind w:left="0" w:leftChars="0" w:firstLine="0" w:firstLineChars="0"/>
        <w:textAlignment w:val="auto"/>
        <w:rPr>
          <w:rFonts w:hint="eastAsia" w:ascii="宋体" w:hAnsi="宋体" w:eastAsia="宋体" w:cs="宋体"/>
          <w:b/>
          <w:bCs/>
          <w:color w:val="auto"/>
          <w:kern w:val="2"/>
          <w:sz w:val="21"/>
          <w:szCs w:val="21"/>
          <w:highlight w:val="none"/>
          <w:lang w:eastAsia="zh-CN"/>
        </w:rPr>
      </w:pPr>
      <w:bookmarkStart w:id="6" w:name="_Toc51573447"/>
      <w:bookmarkStart w:id="7" w:name="_Toc500952621"/>
      <w:bookmarkStart w:id="8" w:name="_Toc531940573"/>
      <w:bookmarkStart w:id="9" w:name="_Toc479238936"/>
      <w:bookmarkStart w:id="10" w:name="_Toc531940646"/>
      <w:bookmarkStart w:id="11" w:name="_Toc516815385"/>
      <w:r>
        <w:rPr>
          <w:rFonts w:hint="eastAsia" w:ascii="宋体" w:hAnsi="宋体" w:eastAsia="宋体" w:cs="宋体"/>
          <w:b/>
          <w:bCs/>
          <w:color w:val="auto"/>
          <w:kern w:val="2"/>
          <w:sz w:val="21"/>
          <w:szCs w:val="21"/>
          <w:highlight w:val="none"/>
          <w:lang w:eastAsia="zh-CN"/>
        </w:rPr>
        <w:t>（</w:t>
      </w:r>
      <w:r>
        <w:rPr>
          <w:rFonts w:hint="eastAsia" w:hAnsi="宋体" w:cs="宋体"/>
          <w:b/>
          <w:bCs/>
          <w:color w:val="auto"/>
          <w:kern w:val="2"/>
          <w:sz w:val="21"/>
          <w:szCs w:val="21"/>
          <w:highlight w:val="none"/>
          <w:lang w:val="en-US" w:eastAsia="zh-CN"/>
        </w:rPr>
        <w:t>四</w:t>
      </w:r>
      <w:r>
        <w:rPr>
          <w:rFonts w:hint="eastAsia" w:ascii="宋体" w:hAnsi="宋体" w:eastAsia="宋体" w:cs="宋体"/>
          <w:b/>
          <w:bCs/>
          <w:color w:val="auto"/>
          <w:kern w:val="2"/>
          <w:sz w:val="21"/>
          <w:szCs w:val="21"/>
          <w:highlight w:val="none"/>
          <w:lang w:eastAsia="zh-CN"/>
        </w:rPr>
        <w:t>）</w:t>
      </w:r>
      <w:r>
        <w:rPr>
          <w:rFonts w:hint="eastAsia" w:ascii="宋体" w:hAnsi="宋体" w:eastAsia="宋体" w:cs="宋体"/>
          <w:b/>
          <w:bCs/>
          <w:color w:val="auto"/>
          <w:kern w:val="2"/>
          <w:sz w:val="21"/>
          <w:szCs w:val="21"/>
          <w:highlight w:val="none"/>
        </w:rPr>
        <w:t>项目服务内容及要求</w:t>
      </w:r>
      <w:bookmarkEnd w:id="6"/>
      <w:r>
        <w:rPr>
          <w:rFonts w:hint="eastAsia" w:ascii="宋体" w:hAnsi="宋体" w:eastAsia="宋体" w:cs="宋体"/>
          <w:b/>
          <w:bCs/>
          <w:color w:val="auto"/>
          <w:kern w:val="2"/>
          <w:sz w:val="21"/>
          <w:szCs w:val="21"/>
          <w:highlight w:val="none"/>
          <w:lang w:eastAsia="zh-CN"/>
        </w:rPr>
        <w:t>：</w:t>
      </w:r>
    </w:p>
    <w:p w14:paraId="270C0996">
      <w:pPr>
        <w:keepNext w:val="0"/>
        <w:keepLines w:val="0"/>
        <w:pageBreakBefore w:val="0"/>
        <w:widowControl w:val="0"/>
        <w:numPr>
          <w:ilvl w:val="0"/>
          <w:numId w:val="0"/>
        </w:numPr>
        <w:kinsoku/>
        <w:wordWrap/>
        <w:overflowPunct/>
        <w:topLinePunct w:val="0"/>
        <w:autoSpaceDE/>
        <w:autoSpaceDN/>
        <w:bidi w:val="0"/>
        <w:adjustRightInd/>
        <w:snapToGrid/>
        <w:spacing w:line="360" w:lineRule="auto"/>
        <w:ind w:leftChars="0" w:firstLine="420" w:firstLineChars="200"/>
        <w:textAlignment w:val="auto"/>
        <w:rPr>
          <w:rFonts w:hint="eastAsia" w:ascii="宋体" w:hAnsi="宋体" w:eastAsia="宋体" w:cs="宋体"/>
          <w:color w:val="auto"/>
          <w:kern w:val="2"/>
          <w:sz w:val="21"/>
          <w:szCs w:val="21"/>
          <w:highlight w:val="none"/>
          <w:lang w:val="en-US" w:eastAsia="zh-CN"/>
        </w:rPr>
      </w:pPr>
      <w:r>
        <w:rPr>
          <w:rFonts w:hint="eastAsia" w:ascii="宋体" w:hAnsi="宋体" w:eastAsia="宋体" w:cs="宋体"/>
          <w:color w:val="auto"/>
          <w:kern w:val="2"/>
          <w:sz w:val="21"/>
          <w:szCs w:val="21"/>
          <w:highlight w:val="none"/>
          <w:lang w:val="en-US" w:eastAsia="zh-CN"/>
        </w:rPr>
        <w:t>1.中标人符合中华人民共和国卫生行业标准之医院消毒供应中心的标准WS 310-2016。有承接高温、低温灭菌服务及提供应急器械包服务等方面的能力，有符合标准的设施、设备数量、质量等。</w:t>
      </w:r>
    </w:p>
    <w:bookmarkEnd w:id="7"/>
    <w:bookmarkEnd w:id="8"/>
    <w:bookmarkEnd w:id="9"/>
    <w:bookmarkEnd w:id="10"/>
    <w:bookmarkEnd w:id="11"/>
    <w:p w14:paraId="76980EE6">
      <w:pPr>
        <w:keepNext w:val="0"/>
        <w:keepLines w:val="0"/>
        <w:pageBreakBefore w:val="0"/>
        <w:widowControl w:val="0"/>
        <w:numPr>
          <w:ilvl w:val="0"/>
          <w:numId w:val="0"/>
        </w:numPr>
        <w:kinsoku/>
        <w:wordWrap/>
        <w:overflowPunct/>
        <w:topLinePunct w:val="0"/>
        <w:autoSpaceDE/>
        <w:autoSpaceDN/>
        <w:bidi w:val="0"/>
        <w:adjustRightInd/>
        <w:snapToGrid/>
        <w:spacing w:line="360" w:lineRule="auto"/>
        <w:ind w:leftChars="0" w:firstLine="420" w:firstLineChars="200"/>
        <w:textAlignment w:val="auto"/>
        <w:rPr>
          <w:rFonts w:hint="eastAsia" w:ascii="宋体" w:hAnsi="宋体" w:eastAsia="宋体" w:cs="宋体"/>
          <w:bCs/>
          <w:color w:val="auto"/>
          <w:kern w:val="2"/>
          <w:sz w:val="21"/>
          <w:szCs w:val="21"/>
          <w:highlight w:val="none"/>
        </w:rPr>
      </w:pPr>
      <w:bookmarkStart w:id="12" w:name="_Hlk50199978"/>
      <w:r>
        <w:rPr>
          <w:rFonts w:hint="eastAsia" w:ascii="宋体" w:hAnsi="宋体" w:eastAsia="宋体" w:cs="宋体"/>
          <w:bCs/>
          <w:color w:val="auto"/>
          <w:kern w:val="2"/>
          <w:sz w:val="21"/>
          <w:szCs w:val="21"/>
          <w:highlight w:val="none"/>
          <w:lang w:val="en-US" w:eastAsia="zh-CN"/>
        </w:rPr>
        <w:t>2.</w:t>
      </w:r>
      <w:r>
        <w:rPr>
          <w:rFonts w:hint="eastAsia" w:ascii="宋体" w:hAnsi="宋体" w:eastAsia="宋体" w:cs="宋体"/>
          <w:bCs/>
          <w:color w:val="auto"/>
          <w:kern w:val="2"/>
          <w:sz w:val="21"/>
          <w:szCs w:val="21"/>
          <w:highlight w:val="none"/>
        </w:rPr>
        <w:t>全流程清洗消毒灭菌服务：可复用的诊疗器械、器具</w:t>
      </w:r>
      <w:r>
        <w:rPr>
          <w:rFonts w:hint="eastAsia" w:ascii="宋体" w:hAnsi="宋体" w:eastAsia="宋体" w:cs="宋体"/>
          <w:bCs/>
          <w:color w:val="auto"/>
          <w:kern w:val="2"/>
          <w:sz w:val="21"/>
          <w:szCs w:val="21"/>
          <w:highlight w:val="none"/>
          <w:lang w:eastAsia="zh-CN"/>
        </w:rPr>
        <w:t>、</w:t>
      </w:r>
      <w:r>
        <w:rPr>
          <w:rFonts w:hint="eastAsia" w:ascii="宋体" w:hAnsi="宋体" w:eastAsia="宋体" w:cs="宋体"/>
          <w:bCs/>
          <w:color w:val="auto"/>
          <w:kern w:val="2"/>
          <w:sz w:val="21"/>
          <w:szCs w:val="21"/>
          <w:highlight w:val="none"/>
        </w:rPr>
        <w:t>物品进行接收、分类（清点）、清洗、消毒、干燥、检查与保养、包装、灭菌、监测、发放</w:t>
      </w:r>
      <w:r>
        <w:rPr>
          <w:rFonts w:hint="eastAsia" w:ascii="宋体" w:hAnsi="宋体" w:eastAsia="宋体" w:cs="宋体"/>
          <w:bCs/>
          <w:color w:val="auto"/>
          <w:kern w:val="2"/>
          <w:sz w:val="21"/>
          <w:szCs w:val="21"/>
          <w:highlight w:val="none"/>
          <w:lang w:val="en-US" w:eastAsia="zh-CN"/>
        </w:rPr>
        <w:t>等</w:t>
      </w:r>
      <w:r>
        <w:rPr>
          <w:rFonts w:hint="eastAsia" w:ascii="宋体" w:hAnsi="宋体" w:eastAsia="宋体" w:cs="宋体"/>
          <w:bCs/>
          <w:color w:val="auto"/>
          <w:kern w:val="2"/>
          <w:sz w:val="21"/>
          <w:szCs w:val="21"/>
          <w:highlight w:val="none"/>
        </w:rPr>
        <w:t>。</w:t>
      </w:r>
    </w:p>
    <w:p w14:paraId="7E634259">
      <w:pPr>
        <w:keepNext w:val="0"/>
        <w:keepLines w:val="0"/>
        <w:pageBreakBefore w:val="0"/>
        <w:widowControl w:val="0"/>
        <w:numPr>
          <w:ilvl w:val="0"/>
          <w:numId w:val="0"/>
        </w:numPr>
        <w:kinsoku/>
        <w:wordWrap/>
        <w:overflowPunct/>
        <w:topLinePunct w:val="0"/>
        <w:autoSpaceDE/>
        <w:autoSpaceDN/>
        <w:bidi w:val="0"/>
        <w:adjustRightInd/>
        <w:snapToGrid/>
        <w:spacing w:line="360" w:lineRule="auto"/>
        <w:ind w:leftChars="0" w:firstLine="420" w:firstLineChars="200"/>
        <w:textAlignment w:val="auto"/>
        <w:rPr>
          <w:rFonts w:hint="eastAsia" w:ascii="宋体" w:hAnsi="宋体" w:eastAsia="宋体" w:cs="宋体"/>
          <w:color w:val="auto"/>
          <w:kern w:val="2"/>
          <w:sz w:val="21"/>
          <w:szCs w:val="21"/>
          <w:highlight w:val="none"/>
        </w:rPr>
      </w:pPr>
      <w:r>
        <w:rPr>
          <w:rFonts w:hint="eastAsia" w:ascii="宋体" w:hAnsi="宋体" w:eastAsia="宋体" w:cs="宋体"/>
          <w:color w:val="auto"/>
          <w:kern w:val="2"/>
          <w:sz w:val="21"/>
          <w:szCs w:val="21"/>
          <w:highlight w:val="none"/>
          <w:lang w:val="en-US" w:eastAsia="zh-CN"/>
        </w:rPr>
        <w:t>3.</w:t>
      </w:r>
      <w:r>
        <w:rPr>
          <w:rFonts w:hint="eastAsia" w:ascii="宋体" w:hAnsi="宋体" w:eastAsia="宋体" w:cs="宋体"/>
          <w:color w:val="auto"/>
          <w:kern w:val="2"/>
          <w:sz w:val="21"/>
          <w:szCs w:val="21"/>
          <w:highlight w:val="none"/>
        </w:rPr>
        <w:t>敷料灭菌服务：对已经清洗合格，包装完好的医用敷料包进行压力蒸汽灭菌服务。</w:t>
      </w:r>
    </w:p>
    <w:p w14:paraId="47E12E26">
      <w:pPr>
        <w:keepNext w:val="0"/>
        <w:keepLines w:val="0"/>
        <w:pageBreakBefore w:val="0"/>
        <w:widowControl w:val="0"/>
        <w:numPr>
          <w:ilvl w:val="0"/>
          <w:numId w:val="0"/>
        </w:numPr>
        <w:kinsoku/>
        <w:wordWrap/>
        <w:overflowPunct/>
        <w:topLinePunct w:val="0"/>
        <w:autoSpaceDE/>
        <w:autoSpaceDN/>
        <w:bidi w:val="0"/>
        <w:adjustRightInd/>
        <w:snapToGrid/>
        <w:spacing w:line="360" w:lineRule="auto"/>
        <w:ind w:leftChars="0" w:firstLine="420" w:firstLineChars="200"/>
        <w:textAlignment w:val="auto"/>
        <w:rPr>
          <w:rFonts w:hint="eastAsia" w:ascii="宋体" w:hAnsi="宋体" w:eastAsia="宋体" w:cs="宋体"/>
          <w:color w:val="auto"/>
          <w:kern w:val="2"/>
          <w:sz w:val="21"/>
          <w:szCs w:val="21"/>
          <w:highlight w:val="none"/>
        </w:rPr>
      </w:pPr>
      <w:r>
        <w:rPr>
          <w:rFonts w:hint="eastAsia" w:ascii="宋体" w:hAnsi="宋体" w:eastAsia="宋体" w:cs="宋体"/>
          <w:color w:val="auto"/>
          <w:kern w:val="2"/>
          <w:sz w:val="21"/>
          <w:szCs w:val="21"/>
          <w:highlight w:val="none"/>
          <w:lang w:val="en-US" w:eastAsia="zh-CN"/>
        </w:rPr>
        <w:t>4.</w:t>
      </w:r>
      <w:r>
        <w:rPr>
          <w:rFonts w:hint="eastAsia" w:ascii="宋体" w:hAnsi="宋体" w:eastAsia="宋体" w:cs="宋体"/>
          <w:color w:val="auto"/>
          <w:kern w:val="2"/>
          <w:sz w:val="21"/>
          <w:szCs w:val="21"/>
          <w:highlight w:val="none"/>
        </w:rPr>
        <w:t>监测验证服务：依据 WS 310.3-2016 完成常规监测项目，并根据</w:t>
      </w:r>
      <w:r>
        <w:rPr>
          <w:rFonts w:hint="eastAsia" w:ascii="宋体" w:hAnsi="宋体" w:eastAsia="宋体" w:cs="宋体"/>
          <w:color w:val="auto"/>
          <w:kern w:val="2"/>
          <w:sz w:val="21"/>
          <w:szCs w:val="21"/>
          <w:highlight w:val="none"/>
          <w:lang w:eastAsia="zh-CN"/>
        </w:rPr>
        <w:t>采购人</w:t>
      </w:r>
      <w:r>
        <w:rPr>
          <w:rFonts w:hint="eastAsia" w:ascii="宋体" w:hAnsi="宋体" w:eastAsia="宋体" w:cs="宋体"/>
          <w:color w:val="auto"/>
          <w:kern w:val="2"/>
          <w:sz w:val="21"/>
          <w:szCs w:val="21"/>
          <w:highlight w:val="none"/>
        </w:rPr>
        <w:t>需求提供相关报告。</w:t>
      </w:r>
    </w:p>
    <w:p w14:paraId="759C98A4">
      <w:pPr>
        <w:keepNext w:val="0"/>
        <w:keepLines w:val="0"/>
        <w:pageBreakBefore w:val="0"/>
        <w:widowControl w:val="0"/>
        <w:numPr>
          <w:ilvl w:val="0"/>
          <w:numId w:val="0"/>
        </w:numPr>
        <w:kinsoku/>
        <w:wordWrap/>
        <w:overflowPunct/>
        <w:topLinePunct w:val="0"/>
        <w:autoSpaceDE/>
        <w:autoSpaceDN/>
        <w:bidi w:val="0"/>
        <w:adjustRightInd/>
        <w:snapToGrid/>
        <w:spacing w:line="360" w:lineRule="auto"/>
        <w:ind w:leftChars="0" w:firstLine="420" w:firstLineChars="200"/>
        <w:textAlignment w:val="auto"/>
        <w:rPr>
          <w:rFonts w:hint="eastAsia" w:ascii="宋体" w:hAnsi="宋体" w:eastAsia="宋体" w:cs="宋体"/>
          <w:bCs/>
          <w:color w:val="auto"/>
          <w:kern w:val="2"/>
          <w:sz w:val="21"/>
          <w:szCs w:val="21"/>
          <w:highlight w:val="none"/>
        </w:rPr>
      </w:pPr>
      <w:r>
        <w:rPr>
          <w:rFonts w:hint="eastAsia" w:ascii="宋体" w:hAnsi="宋体" w:eastAsia="宋体" w:cs="宋体"/>
          <w:bCs/>
          <w:color w:val="auto"/>
          <w:kern w:val="2"/>
          <w:sz w:val="21"/>
          <w:szCs w:val="21"/>
          <w:highlight w:val="none"/>
          <w:lang w:val="en-US" w:eastAsia="zh-CN"/>
        </w:rPr>
        <w:t>5.</w:t>
      </w:r>
      <w:r>
        <w:rPr>
          <w:rFonts w:hint="eastAsia" w:ascii="宋体" w:hAnsi="宋体" w:eastAsia="宋体" w:cs="宋体"/>
          <w:bCs/>
          <w:color w:val="auto"/>
          <w:kern w:val="2"/>
          <w:sz w:val="21"/>
          <w:szCs w:val="21"/>
          <w:highlight w:val="none"/>
        </w:rPr>
        <w:t>转运接收服务：院外物流运送由中标人负责。</w:t>
      </w:r>
    </w:p>
    <w:p w14:paraId="2323ECCD">
      <w:pPr>
        <w:keepNext w:val="0"/>
        <w:keepLines w:val="0"/>
        <w:pageBreakBefore w:val="0"/>
        <w:widowControl w:val="0"/>
        <w:numPr>
          <w:ilvl w:val="0"/>
          <w:numId w:val="0"/>
        </w:numPr>
        <w:kinsoku/>
        <w:wordWrap/>
        <w:overflowPunct/>
        <w:topLinePunct w:val="0"/>
        <w:autoSpaceDE/>
        <w:autoSpaceDN/>
        <w:bidi w:val="0"/>
        <w:adjustRightInd/>
        <w:snapToGrid/>
        <w:spacing w:line="360" w:lineRule="auto"/>
        <w:ind w:leftChars="0" w:firstLine="420" w:firstLineChars="200"/>
        <w:textAlignment w:val="auto"/>
        <w:rPr>
          <w:rFonts w:hint="eastAsia" w:ascii="宋体" w:hAnsi="宋体" w:eastAsia="宋体" w:cs="宋体"/>
          <w:bCs/>
          <w:color w:val="auto"/>
          <w:kern w:val="2"/>
          <w:sz w:val="21"/>
          <w:szCs w:val="21"/>
          <w:highlight w:val="none"/>
        </w:rPr>
      </w:pPr>
      <w:r>
        <w:rPr>
          <w:rFonts w:hint="eastAsia" w:ascii="宋体" w:hAnsi="宋体" w:eastAsia="宋体" w:cs="宋体"/>
          <w:bCs/>
          <w:color w:val="auto"/>
          <w:kern w:val="2"/>
          <w:sz w:val="21"/>
          <w:szCs w:val="21"/>
          <w:highlight w:val="none"/>
          <w:lang w:val="en-US" w:eastAsia="zh-CN"/>
        </w:rPr>
        <w:t>6.</w:t>
      </w:r>
      <w:r>
        <w:rPr>
          <w:rFonts w:hint="eastAsia" w:ascii="宋体" w:hAnsi="宋体" w:eastAsia="宋体" w:cs="宋体"/>
          <w:bCs/>
          <w:color w:val="auto"/>
          <w:kern w:val="2"/>
          <w:sz w:val="21"/>
          <w:szCs w:val="21"/>
          <w:highlight w:val="none"/>
        </w:rPr>
        <w:t>IT服务：</w:t>
      </w:r>
      <w:r>
        <w:rPr>
          <w:rFonts w:hint="eastAsia" w:ascii="宋体" w:hAnsi="宋体" w:eastAsia="宋体" w:cs="宋体"/>
          <w:bCs/>
          <w:color w:val="auto"/>
          <w:kern w:val="2"/>
          <w:sz w:val="21"/>
          <w:szCs w:val="21"/>
          <w:highlight w:val="none"/>
          <w:lang w:val="en-US" w:eastAsia="zh-CN"/>
        </w:rPr>
        <w:t>提供</w:t>
      </w:r>
      <w:r>
        <w:rPr>
          <w:rFonts w:hint="eastAsia" w:ascii="宋体" w:hAnsi="宋体" w:eastAsia="宋体" w:cs="宋体"/>
          <w:bCs/>
          <w:color w:val="auto"/>
          <w:kern w:val="2"/>
          <w:sz w:val="21"/>
          <w:szCs w:val="21"/>
          <w:highlight w:val="none"/>
        </w:rPr>
        <w:t>单包追溯</w:t>
      </w:r>
      <w:r>
        <w:rPr>
          <w:rFonts w:hint="eastAsia" w:ascii="宋体" w:hAnsi="宋体" w:eastAsia="宋体" w:cs="宋体"/>
          <w:bCs/>
          <w:color w:val="auto"/>
          <w:kern w:val="2"/>
          <w:sz w:val="21"/>
          <w:szCs w:val="21"/>
          <w:highlight w:val="none"/>
          <w:lang w:eastAsia="zh-CN"/>
        </w:rPr>
        <w:t>、</w:t>
      </w:r>
      <w:r>
        <w:rPr>
          <w:rFonts w:hint="eastAsia" w:ascii="宋体" w:hAnsi="宋体" w:eastAsia="宋体" w:cs="宋体"/>
          <w:bCs/>
          <w:color w:val="auto"/>
          <w:kern w:val="2"/>
          <w:sz w:val="21"/>
          <w:szCs w:val="21"/>
          <w:highlight w:val="none"/>
        </w:rPr>
        <w:t>库存信息管理</w:t>
      </w:r>
      <w:r>
        <w:rPr>
          <w:rFonts w:hint="eastAsia" w:ascii="宋体" w:hAnsi="宋体" w:eastAsia="宋体" w:cs="宋体"/>
          <w:bCs/>
          <w:color w:val="auto"/>
          <w:kern w:val="2"/>
          <w:sz w:val="21"/>
          <w:szCs w:val="21"/>
          <w:highlight w:val="none"/>
          <w:lang w:eastAsia="zh-CN"/>
        </w:rPr>
        <w:t>、</w:t>
      </w:r>
      <w:r>
        <w:rPr>
          <w:rFonts w:hint="eastAsia" w:ascii="宋体" w:hAnsi="宋体" w:eastAsia="宋体" w:cs="宋体"/>
          <w:bCs/>
          <w:color w:val="auto"/>
          <w:kern w:val="2"/>
          <w:sz w:val="21"/>
          <w:szCs w:val="21"/>
          <w:highlight w:val="none"/>
        </w:rPr>
        <w:t>生产信息报表</w:t>
      </w:r>
      <w:r>
        <w:rPr>
          <w:rFonts w:hint="eastAsia" w:ascii="宋体" w:hAnsi="宋体" w:eastAsia="宋体" w:cs="宋体"/>
          <w:bCs/>
          <w:color w:val="auto"/>
          <w:kern w:val="2"/>
          <w:sz w:val="21"/>
          <w:szCs w:val="21"/>
          <w:highlight w:val="none"/>
          <w:lang w:val="en-US" w:eastAsia="zh-CN"/>
        </w:rPr>
        <w:t>等服务</w:t>
      </w:r>
      <w:r>
        <w:rPr>
          <w:rFonts w:hint="eastAsia" w:ascii="宋体" w:hAnsi="宋体" w:eastAsia="宋体" w:cs="宋体"/>
          <w:bCs/>
          <w:color w:val="auto"/>
          <w:kern w:val="2"/>
          <w:sz w:val="21"/>
          <w:szCs w:val="21"/>
          <w:highlight w:val="none"/>
          <w:lang w:eastAsia="zh-CN"/>
        </w:rPr>
        <w:t>。</w:t>
      </w:r>
      <w:r>
        <w:rPr>
          <w:rFonts w:hint="eastAsia" w:ascii="宋体" w:hAnsi="宋体" w:eastAsia="宋体" w:cs="宋体"/>
          <w:bCs/>
          <w:color w:val="auto"/>
          <w:kern w:val="2"/>
          <w:sz w:val="21"/>
          <w:szCs w:val="21"/>
          <w:highlight w:val="none"/>
        </w:rPr>
        <w:t>所有的器械包都可通过计算机信息化追溯系统对该产品包处理时的每一个流程进行追溯。报告可以提供诸如所处理的器械包（名称）、使用科室和器械的数量、处理时间、及清洗消毒器的炉次及运行参数、灭菌方式、灭菌炉号炉次、灭菌运行参数、灭菌日期、失效日期及清洗、包装、灭菌操作者等信息；能完成与</w:t>
      </w:r>
      <w:r>
        <w:rPr>
          <w:rFonts w:hint="eastAsia" w:ascii="宋体" w:hAnsi="宋体" w:eastAsia="宋体" w:cs="宋体"/>
          <w:bCs/>
          <w:color w:val="auto"/>
          <w:kern w:val="2"/>
          <w:sz w:val="21"/>
          <w:szCs w:val="21"/>
          <w:highlight w:val="none"/>
          <w:lang w:val="en-US" w:eastAsia="zh-CN"/>
        </w:rPr>
        <w:t>采购人</w:t>
      </w:r>
      <w:r>
        <w:rPr>
          <w:rFonts w:hint="eastAsia" w:ascii="宋体" w:hAnsi="宋体" w:eastAsia="宋体" w:cs="宋体"/>
          <w:bCs/>
          <w:color w:val="auto"/>
          <w:kern w:val="2"/>
          <w:sz w:val="21"/>
          <w:szCs w:val="21"/>
          <w:highlight w:val="none"/>
        </w:rPr>
        <w:t>信息系统的对接（连接信息端口费用均由中标</w:t>
      </w:r>
      <w:r>
        <w:rPr>
          <w:rFonts w:hint="eastAsia" w:ascii="宋体" w:hAnsi="宋体" w:eastAsia="宋体" w:cs="宋体"/>
          <w:bCs/>
          <w:color w:val="auto"/>
          <w:kern w:val="2"/>
          <w:sz w:val="21"/>
          <w:szCs w:val="21"/>
          <w:highlight w:val="none"/>
          <w:lang w:val="en-US" w:eastAsia="zh-CN"/>
        </w:rPr>
        <w:t>人</w:t>
      </w:r>
      <w:r>
        <w:rPr>
          <w:rFonts w:hint="eastAsia" w:ascii="宋体" w:hAnsi="宋体" w:eastAsia="宋体" w:cs="宋体"/>
          <w:bCs/>
          <w:color w:val="auto"/>
          <w:kern w:val="2"/>
          <w:sz w:val="21"/>
          <w:szCs w:val="21"/>
          <w:highlight w:val="none"/>
        </w:rPr>
        <w:t>承担）。</w:t>
      </w:r>
    </w:p>
    <w:p w14:paraId="08FAD39F">
      <w:pPr>
        <w:keepNext w:val="0"/>
        <w:keepLines w:val="0"/>
        <w:pageBreakBefore w:val="0"/>
        <w:widowControl w:val="0"/>
        <w:numPr>
          <w:ilvl w:val="0"/>
          <w:numId w:val="0"/>
        </w:numPr>
        <w:kinsoku/>
        <w:wordWrap/>
        <w:overflowPunct/>
        <w:topLinePunct w:val="0"/>
        <w:autoSpaceDE/>
        <w:autoSpaceDN/>
        <w:bidi w:val="0"/>
        <w:adjustRightInd/>
        <w:snapToGrid/>
        <w:spacing w:line="360" w:lineRule="auto"/>
        <w:ind w:leftChars="0" w:firstLine="420" w:firstLineChars="200"/>
        <w:textAlignment w:val="auto"/>
        <w:rPr>
          <w:rFonts w:hint="eastAsia" w:ascii="宋体" w:hAnsi="宋体" w:eastAsia="宋体" w:cs="宋体"/>
          <w:bCs/>
          <w:color w:val="auto"/>
          <w:kern w:val="2"/>
          <w:sz w:val="21"/>
          <w:szCs w:val="21"/>
          <w:highlight w:val="none"/>
        </w:rPr>
      </w:pPr>
      <w:r>
        <w:rPr>
          <w:rFonts w:hint="eastAsia" w:ascii="宋体" w:hAnsi="宋体" w:eastAsia="宋体" w:cs="宋体"/>
          <w:bCs/>
          <w:color w:val="auto"/>
          <w:kern w:val="2"/>
          <w:sz w:val="21"/>
          <w:szCs w:val="21"/>
          <w:highlight w:val="none"/>
          <w:lang w:val="en-US" w:eastAsia="zh-CN"/>
        </w:rPr>
        <w:t>7.</w:t>
      </w:r>
      <w:r>
        <w:rPr>
          <w:rFonts w:hint="eastAsia" w:ascii="宋体" w:hAnsi="宋体" w:eastAsia="宋体" w:cs="宋体"/>
          <w:bCs/>
          <w:color w:val="auto"/>
          <w:kern w:val="2"/>
          <w:sz w:val="21"/>
          <w:szCs w:val="21"/>
          <w:highlight w:val="none"/>
        </w:rPr>
        <w:t>质量管理审核：医院灭菌物品处理信息审査；医院灭菌物品监测信息审査；</w:t>
      </w:r>
      <w:r>
        <w:rPr>
          <w:rFonts w:hint="eastAsia" w:ascii="宋体" w:hAnsi="宋体" w:eastAsia="宋体" w:cs="宋体"/>
          <w:bCs/>
          <w:color w:val="auto"/>
          <w:kern w:val="2"/>
          <w:sz w:val="21"/>
          <w:szCs w:val="21"/>
          <w:highlight w:val="none"/>
          <w:lang w:val="en-US" w:eastAsia="zh-CN"/>
        </w:rPr>
        <w:t>具备</w:t>
      </w:r>
      <w:r>
        <w:rPr>
          <w:rFonts w:hint="eastAsia" w:ascii="宋体" w:hAnsi="宋体" w:eastAsia="宋体" w:cs="宋体"/>
          <w:bCs/>
          <w:color w:val="auto"/>
          <w:kern w:val="2"/>
          <w:sz w:val="21"/>
          <w:szCs w:val="21"/>
          <w:highlight w:val="none"/>
        </w:rPr>
        <w:t xml:space="preserve"> ISO13485 质量体系</w:t>
      </w:r>
      <w:r>
        <w:rPr>
          <w:rFonts w:hint="eastAsia" w:ascii="宋体" w:hAnsi="宋体" w:eastAsia="宋体" w:cs="宋体"/>
          <w:bCs/>
          <w:color w:val="auto"/>
          <w:kern w:val="2"/>
          <w:sz w:val="21"/>
          <w:szCs w:val="21"/>
          <w:highlight w:val="none"/>
          <w:lang w:val="en-US" w:eastAsia="zh-CN"/>
        </w:rPr>
        <w:t>证书</w:t>
      </w:r>
      <w:r>
        <w:rPr>
          <w:rFonts w:hint="eastAsia" w:ascii="宋体" w:hAnsi="宋体" w:eastAsia="宋体" w:cs="宋体"/>
          <w:bCs/>
          <w:color w:val="auto"/>
          <w:kern w:val="2"/>
          <w:sz w:val="21"/>
          <w:szCs w:val="21"/>
          <w:highlight w:val="none"/>
        </w:rPr>
        <w:t>；符合</w:t>
      </w:r>
      <w:r>
        <w:rPr>
          <w:rFonts w:hint="eastAsia" w:ascii="宋体" w:hAnsi="宋体" w:eastAsia="宋体" w:cs="宋体"/>
          <w:bCs/>
          <w:color w:val="auto"/>
          <w:kern w:val="2"/>
          <w:sz w:val="21"/>
          <w:szCs w:val="21"/>
          <w:highlight w:val="none"/>
          <w:lang w:val="en-US" w:eastAsia="zh-CN"/>
        </w:rPr>
        <w:t>中华人民共和国卫生行业标准</w:t>
      </w:r>
      <w:r>
        <w:rPr>
          <w:rFonts w:hint="eastAsia" w:ascii="宋体" w:hAnsi="宋体" w:eastAsia="宋体" w:cs="宋体"/>
          <w:bCs/>
          <w:color w:val="auto"/>
          <w:kern w:val="2"/>
          <w:sz w:val="21"/>
          <w:szCs w:val="21"/>
          <w:highlight w:val="none"/>
        </w:rPr>
        <w:t xml:space="preserve"> WS 310-2016 标准服务审核</w:t>
      </w:r>
      <w:r>
        <w:rPr>
          <w:rFonts w:hint="eastAsia" w:ascii="宋体" w:hAnsi="宋体" w:eastAsia="宋体" w:cs="宋体"/>
          <w:bCs/>
          <w:color w:val="auto"/>
          <w:kern w:val="2"/>
          <w:sz w:val="21"/>
          <w:szCs w:val="21"/>
          <w:highlight w:val="none"/>
          <w:lang w:eastAsia="zh-CN"/>
        </w:rPr>
        <w:t>。</w:t>
      </w:r>
    </w:p>
    <w:p w14:paraId="2C0F6A3F">
      <w:pPr>
        <w:keepNext w:val="0"/>
        <w:keepLines w:val="0"/>
        <w:pageBreakBefore w:val="0"/>
        <w:widowControl w:val="0"/>
        <w:numPr>
          <w:ilvl w:val="0"/>
          <w:numId w:val="0"/>
        </w:numPr>
        <w:kinsoku/>
        <w:wordWrap/>
        <w:overflowPunct/>
        <w:topLinePunct w:val="0"/>
        <w:autoSpaceDE/>
        <w:autoSpaceDN/>
        <w:bidi w:val="0"/>
        <w:adjustRightInd/>
        <w:snapToGrid/>
        <w:spacing w:line="360" w:lineRule="auto"/>
        <w:ind w:leftChars="0" w:firstLine="420" w:firstLineChars="200"/>
        <w:textAlignment w:val="auto"/>
        <w:rPr>
          <w:rFonts w:hint="eastAsia" w:ascii="宋体" w:hAnsi="宋体" w:eastAsia="宋体" w:cs="宋体"/>
          <w:bCs/>
          <w:color w:val="auto"/>
          <w:kern w:val="2"/>
          <w:sz w:val="21"/>
          <w:szCs w:val="21"/>
          <w:highlight w:val="none"/>
          <w:lang w:val="en-US" w:eastAsia="zh-CN"/>
        </w:rPr>
      </w:pPr>
      <w:r>
        <w:rPr>
          <w:rFonts w:hint="eastAsia" w:ascii="宋体" w:hAnsi="宋体" w:eastAsia="宋体" w:cs="宋体"/>
          <w:bCs/>
          <w:color w:val="auto"/>
          <w:kern w:val="2"/>
          <w:sz w:val="21"/>
          <w:szCs w:val="21"/>
          <w:highlight w:val="none"/>
          <w:lang w:val="en-US" w:eastAsia="zh-CN"/>
        </w:rPr>
        <w:t>8.中标人每年须提供≥5次应急医疗器械包服务（产生的成本包含在投标报价中）。</w:t>
      </w:r>
    </w:p>
    <w:p w14:paraId="1776737E">
      <w:pPr>
        <w:keepNext w:val="0"/>
        <w:keepLines w:val="0"/>
        <w:pageBreakBefore w:val="0"/>
        <w:widowControl w:val="0"/>
        <w:kinsoku/>
        <w:wordWrap/>
        <w:overflowPunct/>
        <w:topLinePunct w:val="0"/>
        <w:autoSpaceDE/>
        <w:autoSpaceDN/>
        <w:bidi w:val="0"/>
        <w:adjustRightInd/>
        <w:snapToGrid/>
        <w:spacing w:line="360" w:lineRule="auto"/>
        <w:ind w:firstLine="420" w:firstLineChars="200"/>
        <w:textAlignment w:val="auto"/>
        <w:rPr>
          <w:rFonts w:hint="eastAsia" w:ascii="宋体" w:hAnsi="宋体" w:eastAsia="宋体" w:cs="宋体"/>
          <w:bCs/>
          <w:color w:val="auto"/>
          <w:kern w:val="2"/>
          <w:sz w:val="21"/>
          <w:szCs w:val="21"/>
          <w:highlight w:val="none"/>
        </w:rPr>
      </w:pPr>
      <w:r>
        <w:rPr>
          <w:rFonts w:hint="eastAsia" w:ascii="宋体" w:hAnsi="宋体" w:eastAsia="宋体" w:cs="宋体"/>
          <w:b w:val="0"/>
          <w:bCs/>
          <w:color w:val="auto"/>
          <w:kern w:val="2"/>
          <w:sz w:val="21"/>
          <w:szCs w:val="21"/>
          <w:highlight w:val="none"/>
          <w:lang w:val="en-US" w:eastAsia="zh-CN"/>
        </w:rPr>
        <w:t>9.</w:t>
      </w:r>
      <w:r>
        <w:rPr>
          <w:rFonts w:hint="eastAsia" w:ascii="宋体" w:hAnsi="宋体" w:eastAsia="宋体" w:cs="宋体"/>
          <w:b w:val="0"/>
          <w:bCs/>
          <w:color w:val="auto"/>
          <w:kern w:val="2"/>
          <w:sz w:val="21"/>
          <w:szCs w:val="21"/>
          <w:highlight w:val="none"/>
        </w:rPr>
        <w:t>监控系统</w:t>
      </w:r>
      <w:r>
        <w:rPr>
          <w:rFonts w:hint="eastAsia" w:ascii="宋体" w:hAnsi="宋体" w:eastAsia="宋体" w:cs="宋体"/>
          <w:b w:val="0"/>
          <w:bCs/>
          <w:color w:val="auto"/>
          <w:kern w:val="2"/>
          <w:sz w:val="21"/>
          <w:szCs w:val="21"/>
          <w:highlight w:val="none"/>
          <w:lang w:eastAsia="zh-CN"/>
        </w:rPr>
        <w:t>：</w:t>
      </w:r>
      <w:r>
        <w:rPr>
          <w:rFonts w:hint="eastAsia" w:ascii="宋体" w:hAnsi="宋体" w:eastAsia="宋体" w:cs="宋体"/>
          <w:bCs/>
          <w:color w:val="auto"/>
          <w:kern w:val="2"/>
          <w:sz w:val="21"/>
          <w:szCs w:val="21"/>
          <w:highlight w:val="none"/>
        </w:rPr>
        <w:t>中标人</w:t>
      </w:r>
      <w:r>
        <w:rPr>
          <w:rFonts w:hint="eastAsia" w:ascii="宋体" w:hAnsi="宋体" w:eastAsia="宋体" w:cs="宋体"/>
          <w:bCs/>
          <w:color w:val="auto"/>
          <w:kern w:val="2"/>
          <w:sz w:val="21"/>
          <w:szCs w:val="21"/>
          <w:highlight w:val="none"/>
          <w:lang w:val="en-US" w:eastAsia="zh-CN"/>
        </w:rPr>
        <w:t>须</w:t>
      </w:r>
      <w:r>
        <w:rPr>
          <w:rFonts w:hint="eastAsia" w:ascii="宋体" w:hAnsi="宋体" w:eastAsia="宋体" w:cs="宋体"/>
          <w:bCs/>
          <w:color w:val="auto"/>
          <w:kern w:val="2"/>
          <w:sz w:val="21"/>
          <w:szCs w:val="21"/>
          <w:highlight w:val="none"/>
        </w:rPr>
        <w:t>为使用此项服务的</w:t>
      </w:r>
      <w:r>
        <w:rPr>
          <w:rFonts w:hint="eastAsia" w:ascii="宋体" w:hAnsi="宋体" w:eastAsia="宋体" w:cs="宋体"/>
          <w:bCs/>
          <w:color w:val="auto"/>
          <w:kern w:val="2"/>
          <w:sz w:val="21"/>
          <w:szCs w:val="21"/>
          <w:highlight w:val="none"/>
          <w:lang w:eastAsia="zh-CN"/>
        </w:rPr>
        <w:t>采购人</w:t>
      </w:r>
      <w:r>
        <w:rPr>
          <w:rFonts w:hint="eastAsia" w:ascii="宋体" w:hAnsi="宋体" w:eastAsia="宋体" w:cs="宋体"/>
          <w:bCs/>
          <w:color w:val="auto"/>
          <w:kern w:val="2"/>
          <w:sz w:val="21"/>
          <w:szCs w:val="21"/>
          <w:highlight w:val="none"/>
        </w:rPr>
        <w:t>提供该服务的服务报告表，主要目的是帮助</w:t>
      </w:r>
      <w:r>
        <w:rPr>
          <w:rFonts w:hint="eastAsia" w:ascii="宋体" w:hAnsi="宋体" w:eastAsia="宋体" w:cs="宋体"/>
          <w:bCs/>
          <w:color w:val="auto"/>
          <w:kern w:val="2"/>
          <w:sz w:val="21"/>
          <w:szCs w:val="21"/>
          <w:highlight w:val="none"/>
          <w:lang w:eastAsia="zh-CN"/>
        </w:rPr>
        <w:t>采购人</w:t>
      </w:r>
      <w:r>
        <w:rPr>
          <w:rFonts w:hint="eastAsia" w:ascii="宋体" w:hAnsi="宋体" w:eastAsia="宋体" w:cs="宋体"/>
          <w:bCs/>
          <w:color w:val="auto"/>
          <w:kern w:val="2"/>
          <w:sz w:val="21"/>
          <w:szCs w:val="21"/>
          <w:highlight w:val="none"/>
        </w:rPr>
        <w:t>对此项服务进行实时的监督和反馈。当服务的任何方面或</w:t>
      </w:r>
      <w:r>
        <w:rPr>
          <w:rFonts w:hint="eastAsia" w:ascii="宋体" w:hAnsi="宋体" w:eastAsia="宋体" w:cs="宋体"/>
          <w:bCs/>
          <w:color w:val="auto"/>
          <w:kern w:val="2"/>
          <w:sz w:val="21"/>
          <w:szCs w:val="21"/>
          <w:highlight w:val="none"/>
          <w:lang w:val="en-US" w:eastAsia="zh-CN"/>
        </w:rPr>
        <w:t>者</w:t>
      </w:r>
      <w:r>
        <w:rPr>
          <w:rFonts w:hint="eastAsia" w:ascii="宋体" w:hAnsi="宋体" w:eastAsia="宋体" w:cs="宋体"/>
          <w:bCs/>
          <w:color w:val="auto"/>
          <w:kern w:val="2"/>
          <w:sz w:val="21"/>
          <w:szCs w:val="21"/>
          <w:highlight w:val="none"/>
        </w:rPr>
        <w:t>所提供的器械出现任何问题时，</w:t>
      </w:r>
      <w:r>
        <w:rPr>
          <w:rFonts w:hint="eastAsia" w:ascii="宋体" w:hAnsi="宋体" w:eastAsia="宋体" w:cs="宋体"/>
          <w:bCs/>
          <w:color w:val="auto"/>
          <w:kern w:val="2"/>
          <w:sz w:val="21"/>
          <w:szCs w:val="21"/>
          <w:highlight w:val="none"/>
          <w:lang w:eastAsia="zh-CN"/>
        </w:rPr>
        <w:t>采购人</w:t>
      </w:r>
      <w:r>
        <w:rPr>
          <w:rFonts w:hint="eastAsia" w:ascii="宋体" w:hAnsi="宋体" w:eastAsia="宋体" w:cs="宋体"/>
          <w:bCs/>
          <w:color w:val="auto"/>
          <w:kern w:val="2"/>
          <w:sz w:val="21"/>
          <w:szCs w:val="21"/>
          <w:highlight w:val="none"/>
          <w:lang w:val="en-US" w:eastAsia="zh-CN"/>
        </w:rPr>
        <w:t>提出</w:t>
      </w:r>
      <w:r>
        <w:rPr>
          <w:rFonts w:hint="eastAsia" w:ascii="宋体" w:hAnsi="宋体" w:eastAsia="宋体" w:cs="宋体"/>
          <w:bCs/>
          <w:color w:val="auto"/>
          <w:kern w:val="2"/>
          <w:sz w:val="21"/>
          <w:szCs w:val="21"/>
          <w:highlight w:val="none"/>
        </w:rPr>
        <w:t>调査,中标人应将调査结果、所导致错误的原因等以及相关部门需要采取的相应的改善措施报告给</w:t>
      </w:r>
      <w:r>
        <w:rPr>
          <w:rFonts w:hint="eastAsia" w:ascii="宋体" w:hAnsi="宋体" w:eastAsia="宋体" w:cs="宋体"/>
          <w:bCs/>
          <w:color w:val="auto"/>
          <w:kern w:val="2"/>
          <w:sz w:val="21"/>
          <w:szCs w:val="21"/>
          <w:highlight w:val="none"/>
          <w:lang w:eastAsia="zh-CN"/>
        </w:rPr>
        <w:t>采购人</w:t>
      </w:r>
      <w:r>
        <w:rPr>
          <w:rFonts w:hint="eastAsia" w:ascii="宋体" w:hAnsi="宋体" w:eastAsia="宋体" w:cs="宋体"/>
          <w:bCs/>
          <w:color w:val="auto"/>
          <w:kern w:val="2"/>
          <w:sz w:val="21"/>
          <w:szCs w:val="21"/>
          <w:highlight w:val="none"/>
        </w:rPr>
        <w:t>。中标人应该在需要的时候为</w:t>
      </w:r>
      <w:r>
        <w:rPr>
          <w:rFonts w:hint="eastAsia" w:ascii="宋体" w:hAnsi="宋体" w:eastAsia="宋体" w:cs="宋体"/>
          <w:bCs/>
          <w:color w:val="auto"/>
          <w:kern w:val="2"/>
          <w:sz w:val="21"/>
          <w:szCs w:val="21"/>
          <w:highlight w:val="none"/>
          <w:lang w:eastAsia="zh-CN"/>
        </w:rPr>
        <w:t>采购人</w:t>
      </w:r>
      <w:r>
        <w:rPr>
          <w:rFonts w:hint="eastAsia" w:ascii="宋体" w:hAnsi="宋体" w:eastAsia="宋体" w:cs="宋体"/>
          <w:bCs/>
          <w:color w:val="auto"/>
          <w:kern w:val="2"/>
          <w:sz w:val="21"/>
          <w:szCs w:val="21"/>
          <w:highlight w:val="none"/>
        </w:rPr>
        <w:t>提供服务报告</w:t>
      </w:r>
      <w:r>
        <w:rPr>
          <w:rFonts w:hint="eastAsia" w:ascii="宋体" w:hAnsi="宋体" w:eastAsia="宋体" w:cs="宋体"/>
          <w:bCs/>
          <w:color w:val="auto"/>
          <w:kern w:val="2"/>
          <w:sz w:val="21"/>
          <w:szCs w:val="21"/>
          <w:highlight w:val="none"/>
          <w:lang w:eastAsia="zh-CN"/>
        </w:rPr>
        <w:t>，</w:t>
      </w:r>
      <w:r>
        <w:rPr>
          <w:rFonts w:hint="eastAsia" w:ascii="宋体" w:hAnsi="宋体" w:eastAsia="宋体" w:cs="宋体"/>
          <w:bCs/>
          <w:color w:val="auto"/>
          <w:kern w:val="2"/>
          <w:sz w:val="21"/>
          <w:szCs w:val="21"/>
          <w:highlight w:val="none"/>
        </w:rPr>
        <w:t>中标人不得对提供信息、导出信息及信息分析向</w:t>
      </w:r>
      <w:r>
        <w:rPr>
          <w:rFonts w:hint="eastAsia" w:ascii="宋体" w:hAnsi="宋体" w:eastAsia="宋体" w:cs="宋体"/>
          <w:bCs/>
          <w:color w:val="auto"/>
          <w:kern w:val="2"/>
          <w:sz w:val="21"/>
          <w:szCs w:val="21"/>
          <w:highlight w:val="none"/>
          <w:lang w:eastAsia="zh-CN"/>
        </w:rPr>
        <w:t>采购人</w:t>
      </w:r>
      <w:r>
        <w:rPr>
          <w:rFonts w:hint="eastAsia" w:ascii="宋体" w:hAnsi="宋体" w:eastAsia="宋体" w:cs="宋体"/>
          <w:bCs/>
          <w:color w:val="auto"/>
          <w:kern w:val="2"/>
          <w:sz w:val="21"/>
          <w:szCs w:val="21"/>
          <w:highlight w:val="none"/>
        </w:rPr>
        <w:t>收取费用。</w:t>
      </w:r>
    </w:p>
    <w:p w14:paraId="17A54437">
      <w:pPr>
        <w:keepNext w:val="0"/>
        <w:keepLines w:val="0"/>
        <w:pageBreakBefore w:val="0"/>
        <w:widowControl w:val="0"/>
        <w:numPr>
          <w:ilvl w:val="0"/>
          <w:numId w:val="0"/>
        </w:numPr>
        <w:kinsoku/>
        <w:wordWrap/>
        <w:overflowPunct/>
        <w:topLinePunct w:val="0"/>
        <w:autoSpaceDE/>
        <w:autoSpaceDN/>
        <w:bidi w:val="0"/>
        <w:adjustRightInd/>
        <w:snapToGrid/>
        <w:spacing w:line="360" w:lineRule="auto"/>
        <w:ind w:left="0" w:leftChars="0" w:firstLine="0" w:firstLineChars="0"/>
        <w:textAlignment w:val="auto"/>
        <w:rPr>
          <w:rFonts w:hint="eastAsia" w:ascii="宋体" w:hAnsi="宋体" w:eastAsia="宋体" w:cs="宋体"/>
          <w:color w:val="auto"/>
          <w:kern w:val="2"/>
          <w:sz w:val="21"/>
          <w:szCs w:val="21"/>
          <w:highlight w:val="none"/>
          <w:lang w:eastAsia="zh-CN"/>
        </w:rPr>
      </w:pPr>
      <w:bookmarkStart w:id="13" w:name="_Toc51573448"/>
      <w:r>
        <w:rPr>
          <w:rFonts w:hint="eastAsia" w:ascii="宋体" w:hAnsi="宋体" w:eastAsia="宋体" w:cs="宋体"/>
          <w:b/>
          <w:bCs/>
          <w:color w:val="auto"/>
          <w:kern w:val="2"/>
          <w:sz w:val="21"/>
          <w:szCs w:val="21"/>
          <w:highlight w:val="none"/>
          <w:lang w:eastAsia="zh-CN"/>
        </w:rPr>
        <w:t>（</w:t>
      </w:r>
      <w:r>
        <w:rPr>
          <w:rFonts w:hint="eastAsia" w:hAnsi="宋体" w:cs="宋体"/>
          <w:b/>
          <w:bCs/>
          <w:color w:val="auto"/>
          <w:kern w:val="2"/>
          <w:sz w:val="21"/>
          <w:szCs w:val="21"/>
          <w:highlight w:val="none"/>
          <w:lang w:val="en-US" w:eastAsia="zh-CN"/>
        </w:rPr>
        <w:t>五</w:t>
      </w:r>
      <w:r>
        <w:rPr>
          <w:rFonts w:hint="eastAsia" w:ascii="宋体" w:hAnsi="宋体" w:eastAsia="宋体" w:cs="宋体"/>
          <w:b/>
          <w:bCs/>
          <w:color w:val="auto"/>
          <w:kern w:val="2"/>
          <w:sz w:val="21"/>
          <w:szCs w:val="21"/>
          <w:highlight w:val="none"/>
          <w:lang w:eastAsia="zh-CN"/>
        </w:rPr>
        <w:t>）</w:t>
      </w:r>
      <w:r>
        <w:rPr>
          <w:rFonts w:hint="eastAsia" w:ascii="宋体" w:hAnsi="宋体" w:eastAsia="宋体" w:cs="宋体"/>
          <w:b/>
          <w:bCs/>
          <w:color w:val="auto"/>
          <w:kern w:val="2"/>
          <w:sz w:val="21"/>
          <w:szCs w:val="21"/>
          <w:highlight w:val="none"/>
        </w:rPr>
        <w:t>服务质量</w:t>
      </w:r>
      <w:r>
        <w:rPr>
          <w:rFonts w:hint="eastAsia" w:ascii="宋体" w:hAnsi="宋体" w:eastAsia="宋体" w:cs="宋体"/>
          <w:b/>
          <w:bCs/>
          <w:color w:val="auto"/>
          <w:kern w:val="2"/>
          <w:sz w:val="21"/>
          <w:szCs w:val="21"/>
          <w:highlight w:val="none"/>
          <w:lang w:val="en-US" w:eastAsia="zh-CN"/>
        </w:rPr>
        <w:t>及</w:t>
      </w:r>
      <w:r>
        <w:rPr>
          <w:rFonts w:hint="eastAsia" w:ascii="宋体" w:hAnsi="宋体" w:eastAsia="宋体" w:cs="宋体"/>
          <w:b/>
          <w:bCs/>
          <w:color w:val="auto"/>
          <w:kern w:val="2"/>
          <w:sz w:val="21"/>
          <w:szCs w:val="21"/>
          <w:highlight w:val="none"/>
        </w:rPr>
        <w:t>要求</w:t>
      </w:r>
      <w:bookmarkEnd w:id="13"/>
      <w:r>
        <w:rPr>
          <w:rFonts w:hint="eastAsia" w:ascii="宋体" w:hAnsi="宋体" w:eastAsia="宋体" w:cs="宋体"/>
          <w:b/>
          <w:bCs/>
          <w:color w:val="auto"/>
          <w:kern w:val="2"/>
          <w:sz w:val="21"/>
          <w:szCs w:val="21"/>
          <w:highlight w:val="none"/>
          <w:lang w:eastAsia="zh-CN"/>
        </w:rPr>
        <w:t>：</w:t>
      </w:r>
    </w:p>
    <w:p w14:paraId="361E9FDA">
      <w:pPr>
        <w:keepNext w:val="0"/>
        <w:keepLines w:val="0"/>
        <w:pageBreakBefore w:val="0"/>
        <w:widowControl w:val="0"/>
        <w:kinsoku/>
        <w:wordWrap/>
        <w:overflowPunct/>
        <w:topLinePunct w:val="0"/>
        <w:autoSpaceDE/>
        <w:autoSpaceDN/>
        <w:bidi w:val="0"/>
        <w:adjustRightInd/>
        <w:snapToGrid/>
        <w:spacing w:line="360" w:lineRule="auto"/>
        <w:textAlignment w:val="auto"/>
        <w:rPr>
          <w:rFonts w:hint="eastAsia" w:ascii="宋体" w:hAnsi="宋体" w:eastAsia="宋体" w:cs="宋体"/>
          <w:b/>
          <w:bCs/>
          <w:color w:val="auto"/>
          <w:kern w:val="2"/>
          <w:sz w:val="21"/>
          <w:szCs w:val="21"/>
          <w:highlight w:val="none"/>
        </w:rPr>
      </w:pPr>
      <w:r>
        <w:rPr>
          <w:rFonts w:hint="eastAsia" w:ascii="宋体" w:hAnsi="宋体" w:eastAsia="宋体" w:cs="宋体"/>
          <w:b/>
          <w:bCs/>
          <w:color w:val="auto"/>
          <w:kern w:val="2"/>
          <w:sz w:val="21"/>
          <w:szCs w:val="21"/>
          <w:highlight w:val="none"/>
        </w:rPr>
        <w:t>1.质量标准：</w:t>
      </w:r>
    </w:p>
    <w:p w14:paraId="3425884A">
      <w:pPr>
        <w:keepNext w:val="0"/>
        <w:keepLines w:val="0"/>
        <w:pageBreakBefore w:val="0"/>
        <w:widowControl w:val="0"/>
        <w:numPr>
          <w:ilvl w:val="0"/>
          <w:numId w:val="0"/>
        </w:numPr>
        <w:kinsoku/>
        <w:wordWrap/>
        <w:overflowPunct/>
        <w:topLinePunct w:val="0"/>
        <w:autoSpaceDE/>
        <w:autoSpaceDN/>
        <w:bidi w:val="0"/>
        <w:adjustRightInd/>
        <w:snapToGrid/>
        <w:spacing w:line="360" w:lineRule="auto"/>
        <w:ind w:leftChars="0" w:firstLine="420" w:firstLineChars="200"/>
        <w:textAlignment w:val="auto"/>
        <w:rPr>
          <w:rFonts w:hint="eastAsia" w:ascii="宋体" w:hAnsi="宋体" w:eastAsia="宋体" w:cs="宋体"/>
          <w:bCs/>
          <w:color w:val="auto"/>
          <w:kern w:val="2"/>
          <w:sz w:val="21"/>
          <w:szCs w:val="21"/>
          <w:highlight w:val="none"/>
          <w:lang w:val="en-US" w:eastAsia="zh-CN"/>
        </w:rPr>
      </w:pPr>
      <w:r>
        <w:rPr>
          <w:rFonts w:hint="eastAsia" w:ascii="宋体" w:hAnsi="宋体" w:eastAsia="宋体" w:cs="宋体"/>
          <w:bCs/>
          <w:color w:val="auto"/>
          <w:kern w:val="2"/>
          <w:sz w:val="21"/>
          <w:szCs w:val="21"/>
          <w:highlight w:val="none"/>
          <w:lang w:val="en-US" w:eastAsia="zh-CN"/>
        </w:rPr>
        <w:t>（1）中标人按照最新颁布的中华人民共和国卫生行业标准之医院消毒供应中心的标准WS 310-2016。当上述国家或行业标准更新后应符合更新后的国家医院消毒供应中心标准。如果因为违反行业标准而出现的所有问题，由中标人承担所有责任。</w:t>
      </w:r>
    </w:p>
    <w:p w14:paraId="2222C641">
      <w:pPr>
        <w:keepNext w:val="0"/>
        <w:keepLines w:val="0"/>
        <w:pageBreakBefore w:val="0"/>
        <w:widowControl w:val="0"/>
        <w:numPr>
          <w:ilvl w:val="0"/>
          <w:numId w:val="0"/>
        </w:numPr>
        <w:kinsoku/>
        <w:wordWrap/>
        <w:overflowPunct/>
        <w:topLinePunct w:val="0"/>
        <w:autoSpaceDE/>
        <w:autoSpaceDN/>
        <w:bidi w:val="0"/>
        <w:adjustRightInd/>
        <w:snapToGrid/>
        <w:spacing w:line="360" w:lineRule="auto"/>
        <w:ind w:leftChars="0" w:firstLine="420" w:firstLineChars="200"/>
        <w:textAlignment w:val="auto"/>
        <w:rPr>
          <w:rFonts w:hint="eastAsia" w:ascii="宋体" w:hAnsi="宋体" w:eastAsia="宋体" w:cs="宋体"/>
          <w:bCs/>
          <w:color w:val="auto"/>
          <w:kern w:val="2"/>
          <w:sz w:val="21"/>
          <w:szCs w:val="21"/>
          <w:highlight w:val="none"/>
          <w:lang w:val="en-US" w:eastAsia="zh-CN"/>
        </w:rPr>
      </w:pPr>
      <w:r>
        <w:rPr>
          <w:rFonts w:hint="eastAsia" w:ascii="宋体" w:hAnsi="宋体" w:eastAsia="宋体" w:cs="宋体"/>
          <w:bCs/>
          <w:color w:val="auto"/>
          <w:kern w:val="2"/>
          <w:sz w:val="21"/>
          <w:szCs w:val="21"/>
          <w:highlight w:val="none"/>
          <w:lang w:val="en-US" w:eastAsia="zh-CN"/>
        </w:rPr>
        <w:t>（2）中标人按照医院临床业务需求，必须准时、准确、安全地为采购人提供服务，以确保临床业务工作的正常运行。</w:t>
      </w:r>
    </w:p>
    <w:p w14:paraId="591F7C30">
      <w:pPr>
        <w:keepNext w:val="0"/>
        <w:keepLines w:val="0"/>
        <w:pageBreakBefore w:val="0"/>
        <w:widowControl w:val="0"/>
        <w:numPr>
          <w:ilvl w:val="0"/>
          <w:numId w:val="0"/>
        </w:numPr>
        <w:kinsoku/>
        <w:wordWrap/>
        <w:overflowPunct/>
        <w:topLinePunct w:val="0"/>
        <w:autoSpaceDE/>
        <w:autoSpaceDN/>
        <w:bidi w:val="0"/>
        <w:adjustRightInd/>
        <w:snapToGrid/>
        <w:spacing w:line="360" w:lineRule="auto"/>
        <w:ind w:leftChars="0" w:firstLine="420" w:firstLineChars="200"/>
        <w:textAlignment w:val="auto"/>
        <w:rPr>
          <w:rFonts w:hint="eastAsia" w:ascii="宋体" w:hAnsi="宋体" w:eastAsia="宋体" w:cs="宋体"/>
          <w:bCs/>
          <w:color w:val="auto"/>
          <w:kern w:val="2"/>
          <w:sz w:val="21"/>
          <w:szCs w:val="21"/>
          <w:highlight w:val="none"/>
          <w:lang w:val="en-US" w:eastAsia="zh-CN"/>
        </w:rPr>
      </w:pPr>
      <w:r>
        <w:rPr>
          <w:rFonts w:hint="eastAsia" w:ascii="宋体" w:hAnsi="宋体" w:eastAsia="宋体" w:cs="宋体"/>
          <w:bCs/>
          <w:color w:val="auto"/>
          <w:kern w:val="2"/>
          <w:sz w:val="21"/>
          <w:szCs w:val="21"/>
          <w:highlight w:val="none"/>
          <w:lang w:val="en-US" w:eastAsia="zh-CN"/>
        </w:rPr>
        <w:t>（3）中标人需具备满足清洗、消毒、灭菌要求的设备、设施与消毒剂（包括但不限于压力水枪、压力气枪、无油空气压缩机、干燥设备及相应清洗用品、扫码设备等），按照行业规范对设备及消毒液进行检测或者监测，并提供符合国家认可的第三方检测报告。</w:t>
      </w:r>
    </w:p>
    <w:p w14:paraId="251D3116">
      <w:pPr>
        <w:keepNext w:val="0"/>
        <w:keepLines w:val="0"/>
        <w:pageBreakBefore w:val="0"/>
        <w:widowControl w:val="0"/>
        <w:numPr>
          <w:ilvl w:val="0"/>
          <w:numId w:val="0"/>
        </w:numPr>
        <w:kinsoku/>
        <w:wordWrap/>
        <w:overflowPunct/>
        <w:topLinePunct w:val="0"/>
        <w:autoSpaceDE/>
        <w:autoSpaceDN/>
        <w:bidi w:val="0"/>
        <w:adjustRightInd/>
        <w:snapToGrid/>
        <w:spacing w:line="360" w:lineRule="auto"/>
        <w:ind w:leftChars="0" w:firstLine="420" w:firstLineChars="200"/>
        <w:textAlignment w:val="auto"/>
        <w:rPr>
          <w:rFonts w:hint="eastAsia" w:ascii="宋体" w:hAnsi="宋体" w:eastAsia="宋体" w:cs="宋体"/>
          <w:bCs/>
          <w:color w:val="auto"/>
          <w:kern w:val="2"/>
          <w:sz w:val="21"/>
          <w:szCs w:val="21"/>
          <w:highlight w:val="none"/>
          <w:lang w:val="en-US" w:eastAsia="zh-CN"/>
        </w:rPr>
      </w:pPr>
      <w:r>
        <w:rPr>
          <w:rFonts w:hint="eastAsia" w:ascii="宋体" w:hAnsi="宋体" w:eastAsia="宋体" w:cs="宋体"/>
          <w:bCs/>
          <w:color w:val="auto"/>
          <w:kern w:val="2"/>
          <w:sz w:val="21"/>
          <w:szCs w:val="21"/>
          <w:highlight w:val="none"/>
          <w:lang w:val="en-US" w:eastAsia="zh-CN"/>
        </w:rPr>
        <w:t>（4）中标人所提供的医用耗材、消毒隔离等相关产品需符合国家的有关要求，证件齐全，质量有保障和来源可追溯。</w:t>
      </w:r>
    </w:p>
    <w:p w14:paraId="7934ABF6">
      <w:pPr>
        <w:keepNext w:val="0"/>
        <w:keepLines w:val="0"/>
        <w:pageBreakBefore w:val="0"/>
        <w:widowControl w:val="0"/>
        <w:numPr>
          <w:ilvl w:val="0"/>
          <w:numId w:val="0"/>
        </w:numPr>
        <w:kinsoku/>
        <w:wordWrap/>
        <w:overflowPunct/>
        <w:topLinePunct w:val="0"/>
        <w:autoSpaceDE/>
        <w:autoSpaceDN/>
        <w:bidi w:val="0"/>
        <w:adjustRightInd/>
        <w:snapToGrid/>
        <w:spacing w:line="360" w:lineRule="auto"/>
        <w:ind w:leftChars="0" w:firstLine="420" w:firstLineChars="200"/>
        <w:textAlignment w:val="auto"/>
        <w:rPr>
          <w:rFonts w:hint="eastAsia" w:ascii="宋体" w:hAnsi="宋体" w:eastAsia="宋体" w:cs="宋体"/>
          <w:bCs/>
          <w:color w:val="auto"/>
          <w:kern w:val="2"/>
          <w:sz w:val="21"/>
          <w:szCs w:val="21"/>
          <w:highlight w:val="none"/>
          <w:lang w:val="en-US" w:eastAsia="zh-CN"/>
        </w:rPr>
      </w:pPr>
      <w:r>
        <w:rPr>
          <w:rFonts w:hint="eastAsia" w:ascii="宋体" w:hAnsi="宋体" w:eastAsia="宋体" w:cs="宋体"/>
          <w:bCs/>
          <w:color w:val="auto"/>
          <w:kern w:val="2"/>
          <w:sz w:val="21"/>
          <w:szCs w:val="21"/>
          <w:highlight w:val="none"/>
          <w:lang w:val="en-US" w:eastAsia="zh-CN"/>
        </w:rPr>
        <w:t>（5）中标人拟投入本项目的服务人员按照行业标准进行相关岗位认证，持证上岗，服务人员须严格按照标准化的操作程序、完善的培训体系和质量控制体系完成本项目，以保证采购人消毒供应中心服务外包工作能安全、高效、有序和有计划地运转。</w:t>
      </w:r>
    </w:p>
    <w:p w14:paraId="7BA42946">
      <w:pPr>
        <w:keepNext w:val="0"/>
        <w:keepLines w:val="0"/>
        <w:pageBreakBefore w:val="0"/>
        <w:widowControl w:val="0"/>
        <w:numPr>
          <w:ilvl w:val="0"/>
          <w:numId w:val="0"/>
        </w:numPr>
        <w:kinsoku/>
        <w:wordWrap/>
        <w:overflowPunct/>
        <w:topLinePunct w:val="0"/>
        <w:autoSpaceDE/>
        <w:autoSpaceDN/>
        <w:bidi w:val="0"/>
        <w:adjustRightInd/>
        <w:snapToGrid/>
        <w:spacing w:line="360" w:lineRule="auto"/>
        <w:ind w:leftChars="0" w:firstLine="420" w:firstLineChars="200"/>
        <w:textAlignment w:val="auto"/>
        <w:rPr>
          <w:rFonts w:hint="eastAsia" w:ascii="宋体" w:hAnsi="宋体" w:eastAsia="宋体" w:cs="宋体"/>
          <w:bCs/>
          <w:color w:val="auto"/>
          <w:kern w:val="2"/>
          <w:sz w:val="21"/>
          <w:szCs w:val="21"/>
          <w:highlight w:val="none"/>
          <w:lang w:val="en-US" w:eastAsia="zh-CN"/>
        </w:rPr>
      </w:pPr>
      <w:r>
        <w:rPr>
          <w:rFonts w:hint="eastAsia" w:ascii="宋体" w:hAnsi="宋体" w:eastAsia="宋体" w:cs="宋体"/>
          <w:bCs/>
          <w:color w:val="auto"/>
          <w:kern w:val="2"/>
          <w:sz w:val="21"/>
          <w:szCs w:val="21"/>
          <w:highlight w:val="none"/>
          <w:lang w:val="en-US" w:eastAsia="zh-CN"/>
        </w:rPr>
        <w:t>（6）中标人需按照行业相关规范接受行业相关行政主管部门的各种有关消毒灭菌工作的检查，将检查结果报备至采购人处。</w:t>
      </w:r>
    </w:p>
    <w:p w14:paraId="4E74E42F">
      <w:pPr>
        <w:keepNext w:val="0"/>
        <w:keepLines w:val="0"/>
        <w:pageBreakBefore w:val="0"/>
        <w:widowControl w:val="0"/>
        <w:numPr>
          <w:ilvl w:val="0"/>
          <w:numId w:val="0"/>
        </w:numPr>
        <w:kinsoku/>
        <w:wordWrap/>
        <w:overflowPunct/>
        <w:topLinePunct w:val="0"/>
        <w:autoSpaceDE/>
        <w:autoSpaceDN/>
        <w:bidi w:val="0"/>
        <w:adjustRightInd/>
        <w:snapToGrid/>
        <w:spacing w:line="360" w:lineRule="auto"/>
        <w:ind w:leftChars="0" w:firstLine="420" w:firstLineChars="200"/>
        <w:textAlignment w:val="auto"/>
        <w:rPr>
          <w:rFonts w:hint="eastAsia" w:ascii="宋体" w:hAnsi="宋体" w:eastAsia="宋体" w:cs="宋体"/>
          <w:bCs/>
          <w:color w:val="auto"/>
          <w:kern w:val="2"/>
          <w:sz w:val="21"/>
          <w:szCs w:val="21"/>
          <w:highlight w:val="none"/>
          <w:lang w:val="en-US" w:eastAsia="zh-CN"/>
        </w:rPr>
      </w:pPr>
      <w:r>
        <w:rPr>
          <w:rFonts w:hint="eastAsia" w:ascii="宋体" w:hAnsi="宋体" w:eastAsia="宋体" w:cs="宋体"/>
          <w:bCs/>
          <w:color w:val="auto"/>
          <w:kern w:val="2"/>
          <w:sz w:val="21"/>
          <w:szCs w:val="21"/>
          <w:highlight w:val="none"/>
          <w:lang w:val="en-US" w:eastAsia="zh-CN"/>
        </w:rPr>
        <w:t>（7）中标人需协助采购人进行与消毒供应相关的资质审核和认证，所产生的费用由中标人承担。</w:t>
      </w:r>
    </w:p>
    <w:p w14:paraId="4A2E377B">
      <w:pPr>
        <w:keepNext w:val="0"/>
        <w:keepLines w:val="0"/>
        <w:pageBreakBefore w:val="0"/>
        <w:widowControl w:val="0"/>
        <w:numPr>
          <w:ilvl w:val="0"/>
          <w:numId w:val="0"/>
        </w:numPr>
        <w:kinsoku/>
        <w:wordWrap/>
        <w:overflowPunct/>
        <w:topLinePunct w:val="0"/>
        <w:autoSpaceDE/>
        <w:autoSpaceDN/>
        <w:bidi w:val="0"/>
        <w:adjustRightInd/>
        <w:snapToGrid/>
        <w:spacing w:line="360" w:lineRule="auto"/>
        <w:ind w:leftChars="0" w:firstLine="420" w:firstLineChars="200"/>
        <w:textAlignment w:val="auto"/>
        <w:rPr>
          <w:rFonts w:hint="eastAsia" w:ascii="宋体" w:hAnsi="宋体" w:eastAsia="宋体" w:cs="宋体"/>
          <w:bCs/>
          <w:color w:val="auto"/>
          <w:kern w:val="2"/>
          <w:sz w:val="21"/>
          <w:szCs w:val="21"/>
          <w:highlight w:val="none"/>
          <w:lang w:val="en-US" w:eastAsia="zh-CN"/>
        </w:rPr>
      </w:pPr>
      <w:r>
        <w:rPr>
          <w:rFonts w:hint="eastAsia" w:ascii="宋体" w:hAnsi="宋体" w:eastAsia="宋体" w:cs="宋体"/>
          <w:bCs/>
          <w:color w:val="auto"/>
          <w:kern w:val="2"/>
          <w:sz w:val="21"/>
          <w:szCs w:val="21"/>
          <w:highlight w:val="none"/>
          <w:lang w:val="en-US" w:eastAsia="zh-CN"/>
        </w:rPr>
        <w:t>（8）使用合适并已通过验证的方法对各种医疗器械包、敷料包以及各类器具进行处理，且处理后的物品使用性能完好及灭菌符合国家及行业标准。</w:t>
      </w:r>
    </w:p>
    <w:p w14:paraId="22ECE592">
      <w:pPr>
        <w:keepNext w:val="0"/>
        <w:keepLines w:val="0"/>
        <w:pageBreakBefore w:val="0"/>
        <w:widowControl w:val="0"/>
        <w:numPr>
          <w:ilvl w:val="0"/>
          <w:numId w:val="0"/>
        </w:numPr>
        <w:kinsoku/>
        <w:wordWrap/>
        <w:overflowPunct/>
        <w:topLinePunct w:val="0"/>
        <w:autoSpaceDE/>
        <w:autoSpaceDN/>
        <w:bidi w:val="0"/>
        <w:adjustRightInd/>
        <w:snapToGrid/>
        <w:spacing w:line="360" w:lineRule="auto"/>
        <w:ind w:leftChars="0" w:firstLine="420" w:firstLineChars="200"/>
        <w:textAlignment w:val="auto"/>
        <w:rPr>
          <w:rFonts w:hint="eastAsia" w:ascii="宋体" w:hAnsi="宋体" w:eastAsia="宋体" w:cs="宋体"/>
          <w:bCs/>
          <w:color w:val="auto"/>
          <w:kern w:val="2"/>
          <w:sz w:val="21"/>
          <w:szCs w:val="21"/>
          <w:highlight w:val="none"/>
          <w:lang w:val="en-US" w:eastAsia="zh-CN"/>
        </w:rPr>
      </w:pPr>
      <w:r>
        <w:rPr>
          <w:rFonts w:hint="eastAsia" w:ascii="宋体" w:hAnsi="宋体" w:eastAsia="宋体" w:cs="宋体"/>
          <w:bCs/>
          <w:color w:val="auto"/>
          <w:kern w:val="2"/>
          <w:sz w:val="21"/>
          <w:szCs w:val="21"/>
          <w:highlight w:val="none"/>
          <w:lang w:val="en-US" w:eastAsia="zh-CN"/>
        </w:rPr>
        <w:t>（9）运送的物品清单应每次随产品一同提交给采购人，相对应的服务对账单也需要每月提交给采购人，所提交的对账单中应该将每一样产品的服务费用明细列出。手术器械包内需附有一份产品目录清单，清单内需列出包内的每样产品，目录清单留有在产品被使用后供检验人员签字确认的栏目。</w:t>
      </w:r>
    </w:p>
    <w:p w14:paraId="694CB2F8">
      <w:pPr>
        <w:keepNext w:val="0"/>
        <w:keepLines w:val="0"/>
        <w:pageBreakBefore w:val="0"/>
        <w:widowControl w:val="0"/>
        <w:numPr>
          <w:ilvl w:val="0"/>
          <w:numId w:val="0"/>
        </w:numPr>
        <w:kinsoku/>
        <w:wordWrap/>
        <w:overflowPunct/>
        <w:topLinePunct w:val="0"/>
        <w:autoSpaceDE/>
        <w:autoSpaceDN/>
        <w:bidi w:val="0"/>
        <w:adjustRightInd/>
        <w:snapToGrid/>
        <w:spacing w:line="360" w:lineRule="auto"/>
        <w:ind w:leftChars="0" w:firstLine="420" w:firstLineChars="200"/>
        <w:textAlignment w:val="auto"/>
        <w:rPr>
          <w:rFonts w:hint="eastAsia" w:ascii="宋体" w:hAnsi="宋体" w:eastAsia="宋体" w:cs="宋体"/>
          <w:bCs/>
          <w:color w:val="auto"/>
          <w:kern w:val="2"/>
          <w:sz w:val="21"/>
          <w:szCs w:val="21"/>
          <w:highlight w:val="none"/>
          <w:lang w:val="en-US" w:eastAsia="zh-CN"/>
        </w:rPr>
      </w:pPr>
      <w:r>
        <w:rPr>
          <w:rFonts w:hint="eastAsia" w:ascii="宋体" w:hAnsi="宋体" w:eastAsia="宋体" w:cs="宋体"/>
          <w:bCs/>
          <w:color w:val="auto"/>
          <w:kern w:val="2"/>
          <w:sz w:val="21"/>
          <w:szCs w:val="21"/>
          <w:highlight w:val="none"/>
          <w:lang w:val="en-US" w:eastAsia="zh-CN"/>
        </w:rPr>
        <w:t>（10）质量管理需遵循中华人民共和国卫生行业标准之医院消毒供应中心标准（即WS310-2016），中标人需提供文字记录和质量控制数据，每月备份交采购人存档。若中标人服务不到位或者管理质量不符合招标文件要求，因此造成采购人损失的，由中标人负责赔偿。中标人需向采购人提供每月、每季度、每年的产品处理监控资料，以及相关的工作制度、流程等辅助工作材料等。</w:t>
      </w:r>
    </w:p>
    <w:p w14:paraId="4748B39E">
      <w:pPr>
        <w:keepNext w:val="0"/>
        <w:keepLines w:val="0"/>
        <w:pageBreakBefore w:val="0"/>
        <w:widowControl w:val="0"/>
        <w:numPr>
          <w:ilvl w:val="0"/>
          <w:numId w:val="0"/>
        </w:numPr>
        <w:kinsoku/>
        <w:wordWrap/>
        <w:overflowPunct/>
        <w:topLinePunct w:val="0"/>
        <w:autoSpaceDE/>
        <w:autoSpaceDN/>
        <w:bidi w:val="0"/>
        <w:adjustRightInd/>
        <w:snapToGrid/>
        <w:spacing w:line="360" w:lineRule="auto"/>
        <w:ind w:leftChars="0" w:firstLine="420" w:firstLineChars="200"/>
        <w:textAlignment w:val="auto"/>
        <w:rPr>
          <w:rFonts w:hint="eastAsia" w:ascii="宋体" w:hAnsi="宋体" w:eastAsia="宋体" w:cs="宋体"/>
          <w:bCs/>
          <w:color w:val="auto"/>
          <w:kern w:val="2"/>
          <w:sz w:val="21"/>
          <w:szCs w:val="21"/>
          <w:highlight w:val="none"/>
          <w:lang w:val="en-US" w:eastAsia="zh-CN"/>
        </w:rPr>
      </w:pPr>
      <w:r>
        <w:rPr>
          <w:rFonts w:hint="eastAsia" w:ascii="宋体" w:hAnsi="宋体" w:eastAsia="宋体" w:cs="宋体"/>
          <w:bCs/>
          <w:color w:val="auto"/>
          <w:kern w:val="2"/>
          <w:sz w:val="21"/>
          <w:szCs w:val="21"/>
          <w:highlight w:val="none"/>
          <w:lang w:val="en-US" w:eastAsia="zh-CN"/>
        </w:rPr>
        <w:t>（11）中标人对提供的产品承担质量保证责任。当服务的任何方面或所提供的产品出现问题时，采购人有权要求中标人进行有效的应急服务保障并限时整改，中标人须无条件配合与服从。</w:t>
      </w:r>
    </w:p>
    <w:p w14:paraId="3DC37E30">
      <w:pPr>
        <w:keepNext w:val="0"/>
        <w:keepLines w:val="0"/>
        <w:pageBreakBefore w:val="0"/>
        <w:widowControl w:val="0"/>
        <w:numPr>
          <w:ilvl w:val="0"/>
          <w:numId w:val="0"/>
        </w:numPr>
        <w:kinsoku/>
        <w:wordWrap/>
        <w:overflowPunct/>
        <w:topLinePunct w:val="0"/>
        <w:autoSpaceDE/>
        <w:autoSpaceDN/>
        <w:bidi w:val="0"/>
        <w:adjustRightInd/>
        <w:snapToGrid/>
        <w:spacing w:line="360" w:lineRule="auto"/>
        <w:ind w:leftChars="0" w:firstLine="420" w:firstLineChars="200"/>
        <w:textAlignment w:val="auto"/>
        <w:rPr>
          <w:rFonts w:hint="eastAsia" w:ascii="宋体" w:hAnsi="宋体" w:eastAsia="宋体" w:cs="宋体"/>
          <w:bCs/>
          <w:color w:val="auto"/>
          <w:kern w:val="2"/>
          <w:sz w:val="21"/>
          <w:szCs w:val="21"/>
          <w:highlight w:val="none"/>
          <w:lang w:val="en-US" w:eastAsia="zh-CN"/>
        </w:rPr>
      </w:pPr>
      <w:r>
        <w:rPr>
          <w:rFonts w:hint="eastAsia" w:ascii="宋体" w:hAnsi="宋体" w:eastAsia="宋体" w:cs="宋体"/>
          <w:bCs/>
          <w:color w:val="auto"/>
          <w:kern w:val="2"/>
          <w:sz w:val="21"/>
          <w:szCs w:val="21"/>
          <w:highlight w:val="none"/>
          <w:lang w:val="en-US" w:eastAsia="zh-CN"/>
        </w:rPr>
        <w:t>（12）中标人具有完善的器械报废和维修的管理机制。因中标人原因导致器械损坏应按价给予赔偿给采购人。</w:t>
      </w:r>
    </w:p>
    <w:p w14:paraId="3C38568E">
      <w:pPr>
        <w:keepNext w:val="0"/>
        <w:keepLines w:val="0"/>
        <w:pageBreakBefore w:val="0"/>
        <w:widowControl w:val="0"/>
        <w:numPr>
          <w:ilvl w:val="0"/>
          <w:numId w:val="0"/>
        </w:numPr>
        <w:kinsoku/>
        <w:wordWrap/>
        <w:overflowPunct/>
        <w:topLinePunct w:val="0"/>
        <w:autoSpaceDE/>
        <w:autoSpaceDN/>
        <w:bidi w:val="0"/>
        <w:adjustRightInd/>
        <w:snapToGrid/>
        <w:spacing w:line="360" w:lineRule="auto"/>
        <w:ind w:leftChars="0" w:firstLine="420" w:firstLineChars="200"/>
        <w:textAlignment w:val="auto"/>
        <w:rPr>
          <w:rFonts w:hint="eastAsia" w:ascii="宋体" w:hAnsi="宋体" w:eastAsia="宋体" w:cs="宋体"/>
          <w:bCs/>
          <w:color w:val="auto"/>
          <w:kern w:val="2"/>
          <w:sz w:val="21"/>
          <w:szCs w:val="21"/>
          <w:highlight w:val="none"/>
          <w:lang w:val="en-US" w:eastAsia="zh-CN"/>
        </w:rPr>
      </w:pPr>
      <w:r>
        <w:rPr>
          <w:rFonts w:hint="eastAsia" w:ascii="宋体" w:hAnsi="宋体" w:eastAsia="宋体" w:cs="宋体"/>
          <w:bCs/>
          <w:color w:val="auto"/>
          <w:kern w:val="2"/>
          <w:sz w:val="21"/>
          <w:szCs w:val="21"/>
          <w:highlight w:val="none"/>
          <w:lang w:val="en-US" w:eastAsia="zh-CN"/>
        </w:rPr>
        <w:t>（13）中标人在自合同签订之日起15个工作日内应建立“停水、停电时无菌包处理的应急预案”、“大型灾害急需无菌物品应急预案”、“无菌物品延迟发放的应急预案”、“生物监测阳性、物品召回的应急预案”等，健全急包处理的应急预案以及补偿机制，并报采购人备案。</w:t>
      </w:r>
    </w:p>
    <w:p w14:paraId="35F76458">
      <w:pPr>
        <w:keepNext w:val="0"/>
        <w:keepLines w:val="0"/>
        <w:pageBreakBefore w:val="0"/>
        <w:widowControl w:val="0"/>
        <w:numPr>
          <w:ilvl w:val="0"/>
          <w:numId w:val="0"/>
        </w:numPr>
        <w:kinsoku/>
        <w:wordWrap/>
        <w:overflowPunct/>
        <w:topLinePunct w:val="0"/>
        <w:autoSpaceDE/>
        <w:autoSpaceDN/>
        <w:bidi w:val="0"/>
        <w:adjustRightInd/>
        <w:snapToGrid/>
        <w:spacing w:line="360" w:lineRule="auto"/>
        <w:ind w:leftChars="0" w:firstLine="420" w:firstLineChars="200"/>
        <w:textAlignment w:val="auto"/>
        <w:rPr>
          <w:rFonts w:hint="eastAsia" w:ascii="宋体" w:hAnsi="宋体" w:eastAsia="宋体" w:cs="宋体"/>
          <w:bCs/>
          <w:color w:val="auto"/>
          <w:kern w:val="2"/>
          <w:sz w:val="21"/>
          <w:szCs w:val="21"/>
          <w:highlight w:val="none"/>
          <w:lang w:val="en-US" w:eastAsia="zh-CN"/>
        </w:rPr>
      </w:pPr>
      <w:r>
        <w:rPr>
          <w:rFonts w:hint="eastAsia" w:ascii="宋体" w:hAnsi="宋体" w:eastAsia="宋体" w:cs="宋体"/>
          <w:bCs/>
          <w:color w:val="auto"/>
          <w:kern w:val="2"/>
          <w:sz w:val="21"/>
          <w:szCs w:val="21"/>
          <w:highlight w:val="none"/>
          <w:lang w:val="en-US" w:eastAsia="zh-CN"/>
        </w:rPr>
        <w:t>（14）中标人应严格遵循行业及法律法规的标准要求，医院消毒卫生标准（GB 15982-2012）、医院消毒供应中心第3部分：清洗消毒及灭菌效果监测标准（WS310.3-2016)的要求，对消毒灭菌物品的质量监测采用检测机构为有检测资质的第三方进行每季度按时进行监测3件〜5件有代表性的物品（如湿化瓶、洗眼器、呼吸囊等），并提供检测报告报采购人。</w:t>
      </w:r>
    </w:p>
    <w:p w14:paraId="3C7E8D4C">
      <w:pPr>
        <w:keepNext w:val="0"/>
        <w:keepLines w:val="0"/>
        <w:pageBreakBefore w:val="0"/>
        <w:widowControl w:val="0"/>
        <w:numPr>
          <w:ilvl w:val="0"/>
          <w:numId w:val="0"/>
        </w:numPr>
        <w:kinsoku/>
        <w:wordWrap/>
        <w:overflowPunct/>
        <w:topLinePunct w:val="0"/>
        <w:autoSpaceDE/>
        <w:autoSpaceDN/>
        <w:bidi w:val="0"/>
        <w:adjustRightInd/>
        <w:snapToGrid/>
        <w:spacing w:line="360" w:lineRule="auto"/>
        <w:textAlignment w:val="auto"/>
        <w:rPr>
          <w:rFonts w:hint="eastAsia" w:ascii="宋体" w:hAnsi="宋体" w:eastAsia="宋体" w:cs="宋体"/>
          <w:b/>
          <w:bCs w:val="0"/>
          <w:color w:val="auto"/>
          <w:kern w:val="2"/>
          <w:sz w:val="21"/>
          <w:szCs w:val="21"/>
          <w:highlight w:val="none"/>
          <w:lang w:val="en-US" w:eastAsia="zh-CN"/>
        </w:rPr>
      </w:pPr>
      <w:r>
        <w:rPr>
          <w:rFonts w:hint="eastAsia" w:ascii="宋体" w:hAnsi="宋体" w:eastAsia="宋体" w:cs="宋体"/>
          <w:b/>
          <w:bCs w:val="0"/>
          <w:color w:val="auto"/>
          <w:kern w:val="2"/>
          <w:sz w:val="21"/>
          <w:szCs w:val="21"/>
          <w:highlight w:val="none"/>
          <w:lang w:val="en-US" w:eastAsia="zh-CN"/>
        </w:rPr>
        <w:t>2.运送和收取标准：</w:t>
      </w:r>
    </w:p>
    <w:p w14:paraId="6F8EF064">
      <w:pPr>
        <w:keepNext w:val="0"/>
        <w:keepLines w:val="0"/>
        <w:pageBreakBefore w:val="0"/>
        <w:widowControl w:val="0"/>
        <w:numPr>
          <w:ilvl w:val="0"/>
          <w:numId w:val="0"/>
        </w:numPr>
        <w:kinsoku/>
        <w:wordWrap/>
        <w:overflowPunct/>
        <w:topLinePunct w:val="0"/>
        <w:autoSpaceDE/>
        <w:autoSpaceDN/>
        <w:bidi w:val="0"/>
        <w:adjustRightInd/>
        <w:snapToGrid/>
        <w:spacing w:line="360" w:lineRule="auto"/>
        <w:ind w:leftChars="0" w:firstLine="420" w:firstLineChars="200"/>
        <w:textAlignment w:val="auto"/>
        <w:rPr>
          <w:rFonts w:hint="eastAsia" w:ascii="宋体" w:hAnsi="宋体" w:eastAsia="宋体" w:cs="宋体"/>
          <w:bCs/>
          <w:color w:val="auto"/>
          <w:kern w:val="2"/>
          <w:sz w:val="21"/>
          <w:szCs w:val="21"/>
          <w:highlight w:val="none"/>
          <w:lang w:val="en-US" w:eastAsia="zh-CN"/>
        </w:rPr>
      </w:pPr>
      <w:r>
        <w:rPr>
          <w:rFonts w:hint="eastAsia" w:ascii="宋体" w:hAnsi="宋体" w:eastAsia="宋体" w:cs="宋体"/>
          <w:bCs/>
          <w:color w:val="auto"/>
          <w:kern w:val="2"/>
          <w:sz w:val="21"/>
          <w:szCs w:val="21"/>
          <w:highlight w:val="none"/>
          <w:lang w:val="en-US" w:eastAsia="zh-CN"/>
        </w:rPr>
        <w:t>（1）运送和收取频率每天至少各2次，根据业务量的需要，双方可协商物流运送的时间和增加物流频率，具体物流运送的时间和频率由双方协商确定。中标人所使用的转运设备必须符合规范标准，经采购人确认同意后方可使用。</w:t>
      </w:r>
    </w:p>
    <w:p w14:paraId="3FA20373">
      <w:pPr>
        <w:keepNext w:val="0"/>
        <w:keepLines w:val="0"/>
        <w:pageBreakBefore w:val="0"/>
        <w:widowControl w:val="0"/>
        <w:numPr>
          <w:ilvl w:val="0"/>
          <w:numId w:val="0"/>
        </w:numPr>
        <w:kinsoku/>
        <w:wordWrap/>
        <w:overflowPunct/>
        <w:topLinePunct w:val="0"/>
        <w:autoSpaceDE/>
        <w:autoSpaceDN/>
        <w:bidi w:val="0"/>
        <w:adjustRightInd/>
        <w:snapToGrid/>
        <w:spacing w:line="360" w:lineRule="auto"/>
        <w:ind w:leftChars="0" w:firstLine="420" w:firstLineChars="200"/>
        <w:textAlignment w:val="auto"/>
        <w:rPr>
          <w:rFonts w:hint="eastAsia" w:ascii="宋体" w:hAnsi="宋体" w:eastAsia="宋体" w:cs="宋体"/>
          <w:bCs/>
          <w:color w:val="auto"/>
          <w:kern w:val="2"/>
          <w:sz w:val="21"/>
          <w:szCs w:val="21"/>
          <w:highlight w:val="none"/>
          <w:lang w:val="en-US" w:eastAsia="zh-CN"/>
        </w:rPr>
      </w:pPr>
      <w:r>
        <w:rPr>
          <w:rFonts w:hint="eastAsia" w:ascii="宋体" w:hAnsi="宋体" w:eastAsia="宋体" w:cs="宋体"/>
          <w:bCs/>
          <w:color w:val="auto"/>
          <w:kern w:val="2"/>
          <w:sz w:val="21"/>
          <w:szCs w:val="21"/>
          <w:highlight w:val="none"/>
          <w:lang w:val="en-US" w:eastAsia="zh-CN"/>
        </w:rPr>
        <w:t>（2）中标人按采购人指定方式和要求回收及发放器械，并提供对精密及贵重器械运输前的相关保护用具及措施，避免运输中造成损坏。安排专人到采购人手术室当面清点接收器械，异常情况现场解决，器械送出后存在问题由中标人负责。</w:t>
      </w:r>
    </w:p>
    <w:p w14:paraId="5E33A282">
      <w:pPr>
        <w:keepNext w:val="0"/>
        <w:keepLines w:val="0"/>
        <w:pageBreakBefore w:val="0"/>
        <w:widowControl w:val="0"/>
        <w:numPr>
          <w:ilvl w:val="0"/>
          <w:numId w:val="0"/>
        </w:numPr>
        <w:kinsoku/>
        <w:wordWrap/>
        <w:overflowPunct/>
        <w:topLinePunct w:val="0"/>
        <w:autoSpaceDE/>
        <w:autoSpaceDN/>
        <w:bidi w:val="0"/>
        <w:adjustRightInd/>
        <w:snapToGrid/>
        <w:spacing w:line="360" w:lineRule="auto"/>
        <w:ind w:leftChars="0" w:firstLine="420" w:firstLineChars="200"/>
        <w:textAlignment w:val="auto"/>
        <w:rPr>
          <w:rFonts w:hint="eastAsia" w:ascii="宋体" w:hAnsi="宋体" w:eastAsia="宋体" w:cs="宋体"/>
          <w:bCs/>
          <w:color w:val="auto"/>
          <w:kern w:val="2"/>
          <w:sz w:val="21"/>
          <w:szCs w:val="21"/>
          <w:highlight w:val="none"/>
          <w:lang w:val="en-US" w:eastAsia="zh-CN"/>
        </w:rPr>
      </w:pPr>
      <w:r>
        <w:rPr>
          <w:rFonts w:hint="eastAsia" w:ascii="宋体" w:hAnsi="宋体" w:eastAsia="宋体" w:cs="宋体"/>
          <w:bCs/>
          <w:color w:val="auto"/>
          <w:kern w:val="2"/>
          <w:sz w:val="21"/>
          <w:szCs w:val="21"/>
          <w:highlight w:val="none"/>
          <w:lang w:val="en-US" w:eastAsia="zh-CN"/>
        </w:rPr>
        <w:t>（3）加急服务：中标人收到采购人发出的应急需求后，全流程服务完成时间≤4小时，每月至少提供2次的加急服务，含物流，所产生的费用包含在投标报价中。</w:t>
      </w:r>
    </w:p>
    <w:p w14:paraId="1E069914">
      <w:pPr>
        <w:keepNext w:val="0"/>
        <w:keepLines w:val="0"/>
        <w:pageBreakBefore w:val="0"/>
        <w:widowControl w:val="0"/>
        <w:numPr>
          <w:ilvl w:val="0"/>
          <w:numId w:val="0"/>
        </w:numPr>
        <w:kinsoku/>
        <w:wordWrap/>
        <w:overflowPunct/>
        <w:topLinePunct w:val="0"/>
        <w:autoSpaceDE/>
        <w:autoSpaceDN/>
        <w:bidi w:val="0"/>
        <w:adjustRightInd/>
        <w:snapToGrid/>
        <w:spacing w:line="360" w:lineRule="auto"/>
        <w:textAlignment w:val="auto"/>
        <w:rPr>
          <w:rFonts w:hint="eastAsia" w:ascii="宋体" w:hAnsi="宋体" w:eastAsia="宋体" w:cs="宋体"/>
          <w:b/>
          <w:bCs w:val="0"/>
          <w:color w:val="auto"/>
          <w:kern w:val="2"/>
          <w:sz w:val="21"/>
          <w:szCs w:val="21"/>
          <w:highlight w:val="none"/>
          <w:lang w:val="en-US" w:eastAsia="zh-CN"/>
        </w:rPr>
      </w:pPr>
      <w:r>
        <w:rPr>
          <w:rFonts w:hint="eastAsia" w:ascii="宋体" w:hAnsi="宋体" w:eastAsia="宋体" w:cs="宋体"/>
          <w:b/>
          <w:bCs w:val="0"/>
          <w:color w:val="auto"/>
          <w:kern w:val="2"/>
          <w:sz w:val="21"/>
          <w:szCs w:val="21"/>
          <w:highlight w:val="none"/>
          <w:lang w:val="en-US" w:eastAsia="zh-CN"/>
        </w:rPr>
        <w:t>3.清洗标准：</w:t>
      </w:r>
    </w:p>
    <w:p w14:paraId="389D94DB">
      <w:pPr>
        <w:keepNext w:val="0"/>
        <w:keepLines w:val="0"/>
        <w:pageBreakBefore w:val="0"/>
        <w:widowControl w:val="0"/>
        <w:numPr>
          <w:ilvl w:val="0"/>
          <w:numId w:val="0"/>
        </w:numPr>
        <w:kinsoku/>
        <w:wordWrap/>
        <w:overflowPunct/>
        <w:topLinePunct w:val="0"/>
        <w:autoSpaceDE/>
        <w:autoSpaceDN/>
        <w:bidi w:val="0"/>
        <w:adjustRightInd/>
        <w:snapToGrid/>
        <w:spacing w:line="360" w:lineRule="auto"/>
        <w:ind w:leftChars="0" w:firstLine="420" w:firstLineChars="200"/>
        <w:textAlignment w:val="auto"/>
        <w:rPr>
          <w:rFonts w:hint="eastAsia" w:ascii="宋体" w:hAnsi="宋体" w:eastAsia="宋体" w:cs="宋体"/>
          <w:bCs/>
          <w:color w:val="auto"/>
          <w:kern w:val="2"/>
          <w:sz w:val="21"/>
          <w:szCs w:val="21"/>
          <w:highlight w:val="none"/>
          <w:lang w:val="en-US" w:eastAsia="zh-CN"/>
        </w:rPr>
      </w:pPr>
      <w:r>
        <w:rPr>
          <w:rFonts w:hint="eastAsia" w:ascii="宋体" w:hAnsi="宋体" w:eastAsia="宋体" w:cs="宋体"/>
          <w:bCs/>
          <w:color w:val="auto"/>
          <w:kern w:val="2"/>
          <w:sz w:val="21"/>
          <w:szCs w:val="21"/>
          <w:highlight w:val="none"/>
          <w:lang w:val="en-US" w:eastAsia="zh-CN"/>
        </w:rPr>
        <w:t>（1）中标人的工作人员须完全掌握各类物品人工清洗或者机械清洗工作流程和质量要求；每件器械做到彻底清洁，目视每件器械无污垢、无锈迹。</w:t>
      </w:r>
    </w:p>
    <w:p w14:paraId="3ED34E83">
      <w:pPr>
        <w:keepNext w:val="0"/>
        <w:keepLines w:val="0"/>
        <w:pageBreakBefore w:val="0"/>
        <w:widowControl w:val="0"/>
        <w:numPr>
          <w:ilvl w:val="0"/>
          <w:numId w:val="0"/>
        </w:numPr>
        <w:kinsoku/>
        <w:wordWrap/>
        <w:overflowPunct/>
        <w:topLinePunct w:val="0"/>
        <w:autoSpaceDE/>
        <w:autoSpaceDN/>
        <w:bidi w:val="0"/>
        <w:adjustRightInd/>
        <w:snapToGrid/>
        <w:spacing w:line="360" w:lineRule="auto"/>
        <w:ind w:leftChars="0" w:firstLine="420" w:firstLineChars="200"/>
        <w:textAlignment w:val="auto"/>
        <w:rPr>
          <w:rFonts w:hint="eastAsia" w:ascii="宋体" w:hAnsi="宋体" w:eastAsia="宋体" w:cs="宋体"/>
          <w:bCs/>
          <w:color w:val="auto"/>
          <w:kern w:val="2"/>
          <w:sz w:val="21"/>
          <w:szCs w:val="21"/>
          <w:highlight w:val="none"/>
          <w:lang w:val="en-US" w:eastAsia="zh-CN"/>
        </w:rPr>
      </w:pPr>
      <w:r>
        <w:rPr>
          <w:rFonts w:hint="eastAsia" w:ascii="宋体" w:hAnsi="宋体" w:eastAsia="宋体" w:cs="宋体"/>
          <w:bCs/>
          <w:color w:val="auto"/>
          <w:kern w:val="2"/>
          <w:sz w:val="21"/>
          <w:szCs w:val="21"/>
          <w:highlight w:val="none"/>
          <w:lang w:val="en-US" w:eastAsia="zh-CN"/>
        </w:rPr>
        <w:t>（2）采购人每月对器械清洗的清洁度进行抽查，根据实际情况进行分析整改，要求清洗合格率达99%以上。</w:t>
      </w:r>
    </w:p>
    <w:p w14:paraId="6999D2BB">
      <w:pPr>
        <w:keepNext w:val="0"/>
        <w:keepLines w:val="0"/>
        <w:pageBreakBefore w:val="0"/>
        <w:widowControl w:val="0"/>
        <w:numPr>
          <w:ilvl w:val="0"/>
          <w:numId w:val="0"/>
        </w:numPr>
        <w:kinsoku/>
        <w:wordWrap/>
        <w:overflowPunct/>
        <w:topLinePunct w:val="0"/>
        <w:autoSpaceDE/>
        <w:autoSpaceDN/>
        <w:bidi w:val="0"/>
        <w:adjustRightInd/>
        <w:snapToGrid/>
        <w:spacing w:line="360" w:lineRule="auto"/>
        <w:ind w:leftChars="0" w:firstLine="420" w:firstLineChars="200"/>
        <w:textAlignment w:val="auto"/>
        <w:rPr>
          <w:rFonts w:hint="eastAsia" w:ascii="宋体" w:hAnsi="宋体" w:eastAsia="宋体" w:cs="宋体"/>
          <w:bCs/>
          <w:color w:val="auto"/>
          <w:kern w:val="2"/>
          <w:sz w:val="21"/>
          <w:szCs w:val="21"/>
          <w:highlight w:val="none"/>
          <w:lang w:val="en-US" w:eastAsia="zh-CN"/>
        </w:rPr>
      </w:pPr>
      <w:r>
        <w:rPr>
          <w:rFonts w:hint="eastAsia" w:ascii="宋体" w:hAnsi="宋体" w:eastAsia="宋体" w:cs="宋体"/>
          <w:bCs/>
          <w:color w:val="auto"/>
          <w:kern w:val="2"/>
          <w:sz w:val="21"/>
          <w:szCs w:val="21"/>
          <w:highlight w:val="none"/>
          <w:lang w:val="en-US" w:eastAsia="zh-CN"/>
        </w:rPr>
        <w:t>（3）遵循中华人民共和国卫生行业标准之医院消毒供应中心标准，使用的水质均需达标。</w:t>
      </w:r>
    </w:p>
    <w:p w14:paraId="17DF6C6A">
      <w:pPr>
        <w:keepNext w:val="0"/>
        <w:keepLines w:val="0"/>
        <w:pageBreakBefore w:val="0"/>
        <w:widowControl w:val="0"/>
        <w:numPr>
          <w:ilvl w:val="0"/>
          <w:numId w:val="0"/>
        </w:numPr>
        <w:kinsoku/>
        <w:wordWrap/>
        <w:overflowPunct/>
        <w:topLinePunct w:val="0"/>
        <w:autoSpaceDE/>
        <w:autoSpaceDN/>
        <w:bidi w:val="0"/>
        <w:adjustRightInd/>
        <w:snapToGrid/>
        <w:spacing w:line="360" w:lineRule="auto"/>
        <w:ind w:leftChars="0" w:firstLine="420" w:firstLineChars="200"/>
        <w:textAlignment w:val="auto"/>
        <w:rPr>
          <w:rFonts w:hint="eastAsia" w:ascii="宋体" w:hAnsi="宋体" w:eastAsia="宋体" w:cs="宋体"/>
          <w:bCs/>
          <w:color w:val="auto"/>
          <w:kern w:val="2"/>
          <w:sz w:val="21"/>
          <w:szCs w:val="21"/>
          <w:highlight w:val="none"/>
          <w:lang w:val="en-US" w:eastAsia="zh-CN"/>
        </w:rPr>
      </w:pPr>
      <w:r>
        <w:rPr>
          <w:rFonts w:hint="eastAsia" w:ascii="宋体" w:hAnsi="宋体" w:eastAsia="宋体" w:cs="宋体"/>
          <w:bCs/>
          <w:color w:val="auto"/>
          <w:kern w:val="2"/>
          <w:sz w:val="21"/>
          <w:szCs w:val="21"/>
          <w:highlight w:val="none"/>
          <w:lang w:val="en-US" w:eastAsia="zh-CN"/>
        </w:rPr>
        <w:t>（4）如在清洗过程中由于物品的清洗方式方法不熟悉而导致物品的损坏，须按物品的原价格赔偿；如在器械的回收或者清洗过程中由于物品的包装不当或者对清洗方式方法不熟悉或者其他原因而导致中标人工作人员受伤感染，由中标人承担全部责任。</w:t>
      </w:r>
    </w:p>
    <w:p w14:paraId="0F9A76B1">
      <w:pPr>
        <w:keepNext w:val="0"/>
        <w:keepLines w:val="0"/>
        <w:pageBreakBefore w:val="0"/>
        <w:widowControl w:val="0"/>
        <w:numPr>
          <w:ilvl w:val="0"/>
          <w:numId w:val="0"/>
        </w:numPr>
        <w:kinsoku/>
        <w:wordWrap/>
        <w:overflowPunct/>
        <w:topLinePunct w:val="0"/>
        <w:autoSpaceDE/>
        <w:autoSpaceDN/>
        <w:bidi w:val="0"/>
        <w:adjustRightInd/>
        <w:snapToGrid/>
        <w:spacing w:before="25" w:after="25" w:line="360" w:lineRule="auto"/>
        <w:ind w:leftChars="0"/>
        <w:jc w:val="left"/>
        <w:textAlignment w:val="auto"/>
        <w:rPr>
          <w:rFonts w:hint="eastAsia" w:ascii="宋体" w:hAnsi="宋体" w:eastAsia="宋体" w:cs="宋体"/>
          <w:b/>
          <w:bCs w:val="0"/>
          <w:color w:val="auto"/>
          <w:spacing w:val="10"/>
          <w:kern w:val="0"/>
          <w:sz w:val="21"/>
          <w:szCs w:val="21"/>
          <w:highlight w:val="none"/>
          <w:lang w:val="en-US" w:eastAsia="zh-CN" w:bidi="ar-SA"/>
        </w:rPr>
      </w:pPr>
      <w:r>
        <w:rPr>
          <w:rFonts w:hint="eastAsia" w:ascii="宋体" w:hAnsi="宋体" w:eastAsia="宋体" w:cs="宋体"/>
          <w:b/>
          <w:bCs w:val="0"/>
          <w:color w:val="auto"/>
          <w:spacing w:val="10"/>
          <w:kern w:val="0"/>
          <w:sz w:val="21"/>
          <w:szCs w:val="21"/>
          <w:highlight w:val="none"/>
          <w:lang w:val="en-US" w:eastAsia="zh-CN" w:bidi="ar-SA"/>
        </w:rPr>
        <w:t>4.包装标准</w:t>
      </w:r>
    </w:p>
    <w:p w14:paraId="19D4AB61">
      <w:pPr>
        <w:keepNext w:val="0"/>
        <w:keepLines w:val="0"/>
        <w:pageBreakBefore w:val="0"/>
        <w:widowControl w:val="0"/>
        <w:numPr>
          <w:ilvl w:val="0"/>
          <w:numId w:val="0"/>
        </w:numPr>
        <w:kinsoku/>
        <w:wordWrap/>
        <w:overflowPunct/>
        <w:topLinePunct w:val="0"/>
        <w:autoSpaceDE/>
        <w:autoSpaceDN/>
        <w:bidi w:val="0"/>
        <w:adjustRightInd/>
        <w:snapToGrid/>
        <w:spacing w:line="360" w:lineRule="auto"/>
        <w:ind w:leftChars="0" w:firstLine="420" w:firstLineChars="200"/>
        <w:textAlignment w:val="auto"/>
        <w:rPr>
          <w:rFonts w:hint="eastAsia" w:ascii="宋体" w:hAnsi="宋体" w:eastAsia="宋体" w:cs="宋体"/>
          <w:bCs/>
          <w:color w:val="auto"/>
          <w:kern w:val="2"/>
          <w:sz w:val="21"/>
          <w:szCs w:val="21"/>
          <w:highlight w:val="none"/>
          <w:lang w:val="en-US" w:eastAsia="zh-CN"/>
        </w:rPr>
      </w:pPr>
      <w:r>
        <w:rPr>
          <w:rFonts w:hint="eastAsia" w:ascii="宋体" w:hAnsi="宋体" w:eastAsia="宋体" w:cs="宋体"/>
          <w:bCs/>
          <w:color w:val="auto"/>
          <w:kern w:val="2"/>
          <w:sz w:val="21"/>
          <w:szCs w:val="21"/>
          <w:highlight w:val="none"/>
          <w:lang w:val="en-US" w:eastAsia="zh-CN"/>
        </w:rPr>
        <w:t>（1）中标人的工作人员须完全掌握各类器械清洁检查和功能检查的方法和质量。</w:t>
      </w:r>
    </w:p>
    <w:p w14:paraId="6A18FC1E">
      <w:pPr>
        <w:keepNext w:val="0"/>
        <w:keepLines w:val="0"/>
        <w:pageBreakBefore w:val="0"/>
        <w:widowControl w:val="0"/>
        <w:numPr>
          <w:ilvl w:val="0"/>
          <w:numId w:val="0"/>
        </w:numPr>
        <w:kinsoku/>
        <w:wordWrap/>
        <w:overflowPunct/>
        <w:topLinePunct w:val="0"/>
        <w:autoSpaceDE/>
        <w:autoSpaceDN/>
        <w:bidi w:val="0"/>
        <w:adjustRightInd/>
        <w:snapToGrid/>
        <w:spacing w:line="360" w:lineRule="auto"/>
        <w:ind w:leftChars="0" w:firstLine="420" w:firstLineChars="200"/>
        <w:textAlignment w:val="auto"/>
        <w:rPr>
          <w:rFonts w:hint="eastAsia" w:ascii="宋体" w:hAnsi="宋体" w:eastAsia="宋体" w:cs="宋体"/>
          <w:bCs/>
          <w:color w:val="auto"/>
          <w:kern w:val="2"/>
          <w:sz w:val="21"/>
          <w:szCs w:val="21"/>
          <w:highlight w:val="none"/>
          <w:lang w:val="en-US" w:eastAsia="zh-CN"/>
        </w:rPr>
      </w:pPr>
      <w:r>
        <w:rPr>
          <w:rFonts w:hint="eastAsia" w:ascii="宋体" w:hAnsi="宋体" w:eastAsia="宋体" w:cs="宋体"/>
          <w:bCs/>
          <w:color w:val="auto"/>
          <w:kern w:val="2"/>
          <w:sz w:val="21"/>
          <w:szCs w:val="21"/>
          <w:highlight w:val="none"/>
          <w:lang w:val="en-US" w:eastAsia="zh-CN"/>
        </w:rPr>
        <w:t>（2）包装人员正确掌握包装工作流程及质量标准。手术包包装实行双人复核，装配前检查各类包装器械的清洁度及功能；装配好的器械物品齐全、摆放合理，摞放的器皿间应用吸湿布、医用吸水纸等隔开，剪刀和血管钳等轴节类器械不应完全锁扣，管腔类物品应盘绕放置，保持管腔通畅，精细器械、锐器等应采取保护措施；包内中心部位放置化学指示卡，包外化学指示胶带长度、包的体积、重量、松紧度适宜、包外标识清楚完整。要求包装合格率达99%以上。</w:t>
      </w:r>
    </w:p>
    <w:p w14:paraId="42694D5A">
      <w:pPr>
        <w:keepNext w:val="0"/>
        <w:keepLines w:val="0"/>
        <w:pageBreakBefore w:val="0"/>
        <w:widowControl w:val="0"/>
        <w:numPr>
          <w:ilvl w:val="0"/>
          <w:numId w:val="0"/>
        </w:numPr>
        <w:kinsoku/>
        <w:wordWrap/>
        <w:overflowPunct/>
        <w:topLinePunct w:val="0"/>
        <w:autoSpaceDE/>
        <w:autoSpaceDN/>
        <w:bidi w:val="0"/>
        <w:adjustRightInd/>
        <w:snapToGrid/>
        <w:spacing w:line="360" w:lineRule="auto"/>
        <w:ind w:leftChars="0" w:firstLine="420" w:firstLineChars="200"/>
        <w:textAlignment w:val="auto"/>
        <w:rPr>
          <w:rFonts w:hint="eastAsia" w:ascii="宋体" w:hAnsi="宋体" w:eastAsia="宋体" w:cs="宋体"/>
          <w:bCs/>
          <w:color w:val="auto"/>
          <w:kern w:val="2"/>
          <w:sz w:val="21"/>
          <w:szCs w:val="21"/>
          <w:highlight w:val="none"/>
          <w:lang w:val="en-US" w:eastAsia="zh-CN"/>
        </w:rPr>
      </w:pPr>
      <w:r>
        <w:rPr>
          <w:rFonts w:hint="eastAsia" w:ascii="宋体" w:hAnsi="宋体" w:eastAsia="宋体" w:cs="宋体"/>
          <w:bCs/>
          <w:color w:val="auto"/>
          <w:kern w:val="2"/>
          <w:sz w:val="21"/>
          <w:szCs w:val="21"/>
          <w:highlight w:val="none"/>
          <w:lang w:val="en-US" w:eastAsia="zh-CN"/>
        </w:rPr>
        <w:t>（3）手术器械包体积标准：（体积≤30cm×30cm×50cm；重量标准：器械包单包重量不超过7公斤，敷料包单包重量：</w:t>
      </w:r>
      <w:r>
        <w:rPr>
          <w:rFonts w:hint="eastAsia" w:ascii="宋体" w:hAnsi="宋体" w:eastAsia="宋体" w:cs="宋体"/>
          <w:color w:val="auto"/>
          <w:kern w:val="2"/>
          <w:sz w:val="21"/>
          <w:szCs w:val="21"/>
          <w:highlight w:val="none"/>
        </w:rPr>
        <w:t>2.37kg≤单包重量≤</w:t>
      </w:r>
      <w:r>
        <w:rPr>
          <w:rFonts w:hint="eastAsia" w:ascii="宋体" w:hAnsi="宋体" w:eastAsia="宋体" w:cs="宋体"/>
          <w:color w:val="auto"/>
          <w:kern w:val="2"/>
          <w:sz w:val="21"/>
          <w:szCs w:val="21"/>
          <w:highlight w:val="none"/>
          <w:lang w:val="en-US" w:eastAsia="zh-CN"/>
        </w:rPr>
        <w:t>5</w:t>
      </w:r>
      <w:r>
        <w:rPr>
          <w:rFonts w:hint="eastAsia" w:ascii="宋体" w:hAnsi="宋体" w:eastAsia="宋体" w:cs="宋体"/>
          <w:color w:val="auto"/>
          <w:kern w:val="2"/>
          <w:sz w:val="21"/>
          <w:szCs w:val="21"/>
          <w:highlight w:val="none"/>
        </w:rPr>
        <w:t>kg</w:t>
      </w:r>
      <w:r>
        <w:rPr>
          <w:rFonts w:hint="eastAsia" w:ascii="宋体" w:hAnsi="宋体" w:eastAsia="宋体" w:cs="宋体"/>
          <w:bCs/>
          <w:color w:val="auto"/>
          <w:kern w:val="2"/>
          <w:sz w:val="21"/>
          <w:szCs w:val="21"/>
          <w:highlight w:val="none"/>
          <w:lang w:val="en-US" w:eastAsia="zh-CN"/>
        </w:rPr>
        <w:t>）。</w:t>
      </w:r>
    </w:p>
    <w:p w14:paraId="7E028E31">
      <w:pPr>
        <w:keepNext w:val="0"/>
        <w:keepLines w:val="0"/>
        <w:pageBreakBefore w:val="0"/>
        <w:widowControl w:val="0"/>
        <w:numPr>
          <w:ilvl w:val="0"/>
          <w:numId w:val="0"/>
        </w:numPr>
        <w:kinsoku/>
        <w:wordWrap/>
        <w:overflowPunct/>
        <w:topLinePunct w:val="0"/>
        <w:autoSpaceDE/>
        <w:autoSpaceDN/>
        <w:bidi w:val="0"/>
        <w:adjustRightInd/>
        <w:snapToGrid/>
        <w:spacing w:before="25" w:after="25" w:line="360" w:lineRule="auto"/>
        <w:ind w:leftChars="0"/>
        <w:jc w:val="left"/>
        <w:textAlignment w:val="auto"/>
        <w:rPr>
          <w:rFonts w:hint="eastAsia" w:ascii="宋体" w:hAnsi="宋体" w:eastAsia="宋体" w:cs="宋体"/>
          <w:b/>
          <w:bCs w:val="0"/>
          <w:color w:val="auto"/>
          <w:spacing w:val="10"/>
          <w:kern w:val="0"/>
          <w:sz w:val="21"/>
          <w:szCs w:val="21"/>
          <w:highlight w:val="none"/>
          <w:lang w:val="en-US" w:eastAsia="zh-CN" w:bidi="ar-SA"/>
        </w:rPr>
      </w:pPr>
      <w:r>
        <w:rPr>
          <w:rFonts w:hint="eastAsia" w:ascii="宋体" w:hAnsi="宋体" w:eastAsia="宋体" w:cs="宋体"/>
          <w:b/>
          <w:bCs w:val="0"/>
          <w:color w:val="auto"/>
          <w:spacing w:val="10"/>
          <w:kern w:val="0"/>
          <w:sz w:val="21"/>
          <w:szCs w:val="21"/>
          <w:highlight w:val="none"/>
          <w:lang w:val="en-US" w:eastAsia="zh-CN" w:bidi="ar-SA"/>
        </w:rPr>
        <w:t>5.灭菌标准</w:t>
      </w:r>
    </w:p>
    <w:p w14:paraId="21E23C0F">
      <w:pPr>
        <w:keepNext w:val="0"/>
        <w:keepLines w:val="0"/>
        <w:pageBreakBefore w:val="0"/>
        <w:widowControl w:val="0"/>
        <w:numPr>
          <w:ilvl w:val="0"/>
          <w:numId w:val="0"/>
        </w:numPr>
        <w:kinsoku/>
        <w:wordWrap/>
        <w:overflowPunct/>
        <w:topLinePunct w:val="0"/>
        <w:autoSpaceDE/>
        <w:autoSpaceDN/>
        <w:bidi w:val="0"/>
        <w:adjustRightInd/>
        <w:snapToGrid/>
        <w:spacing w:line="360" w:lineRule="auto"/>
        <w:ind w:leftChars="0" w:firstLine="420" w:firstLineChars="200"/>
        <w:textAlignment w:val="auto"/>
        <w:rPr>
          <w:rFonts w:hint="eastAsia" w:ascii="宋体" w:hAnsi="宋体" w:eastAsia="宋体" w:cs="宋体"/>
          <w:bCs/>
          <w:color w:val="auto"/>
          <w:kern w:val="2"/>
          <w:sz w:val="21"/>
          <w:szCs w:val="21"/>
          <w:highlight w:val="none"/>
          <w:lang w:val="en-US" w:eastAsia="zh-CN"/>
        </w:rPr>
      </w:pPr>
      <w:r>
        <w:rPr>
          <w:rFonts w:hint="eastAsia" w:ascii="宋体" w:hAnsi="宋体" w:eastAsia="宋体" w:cs="宋体"/>
          <w:bCs/>
          <w:color w:val="auto"/>
          <w:kern w:val="2"/>
          <w:sz w:val="21"/>
          <w:szCs w:val="21"/>
          <w:highlight w:val="none"/>
          <w:lang w:val="en-US" w:eastAsia="zh-CN"/>
        </w:rPr>
        <w:t>（1）正确执行待灭菌物品装载、灭菌过程监测、卸载工作流程及质量标准。每天灭菌前执行灭菌器的安全检查、BD测试并双人复核，双人确认批次灭菌过程化学及物理监测或者生物监测结果。</w:t>
      </w:r>
    </w:p>
    <w:p w14:paraId="3F63D9ED">
      <w:pPr>
        <w:keepNext w:val="0"/>
        <w:keepLines w:val="0"/>
        <w:pageBreakBefore w:val="0"/>
        <w:widowControl w:val="0"/>
        <w:numPr>
          <w:ilvl w:val="0"/>
          <w:numId w:val="0"/>
        </w:numPr>
        <w:kinsoku/>
        <w:wordWrap/>
        <w:overflowPunct/>
        <w:topLinePunct w:val="0"/>
        <w:autoSpaceDE/>
        <w:autoSpaceDN/>
        <w:bidi w:val="0"/>
        <w:adjustRightInd/>
        <w:snapToGrid/>
        <w:spacing w:line="360" w:lineRule="auto"/>
        <w:ind w:leftChars="0" w:firstLine="420" w:firstLineChars="200"/>
        <w:textAlignment w:val="auto"/>
        <w:rPr>
          <w:rFonts w:hint="eastAsia" w:ascii="宋体" w:hAnsi="宋体" w:eastAsia="宋体" w:cs="宋体"/>
          <w:bCs/>
          <w:color w:val="auto"/>
          <w:kern w:val="2"/>
          <w:sz w:val="21"/>
          <w:szCs w:val="21"/>
          <w:highlight w:val="none"/>
          <w:lang w:val="en-US" w:eastAsia="zh-CN"/>
        </w:rPr>
      </w:pPr>
      <w:r>
        <w:rPr>
          <w:rFonts w:hint="eastAsia" w:ascii="宋体" w:hAnsi="宋体" w:eastAsia="宋体" w:cs="宋体"/>
          <w:bCs/>
          <w:color w:val="auto"/>
          <w:kern w:val="2"/>
          <w:sz w:val="21"/>
          <w:szCs w:val="21"/>
          <w:highlight w:val="none"/>
          <w:lang w:val="en-US" w:eastAsia="zh-CN"/>
        </w:rPr>
        <w:t>（2）灭菌效果监测资料完整，数据准确，植入物灭菌执行生物监测结果阴性放行，灭菌合格率100%。</w:t>
      </w:r>
    </w:p>
    <w:p w14:paraId="19BA03A5">
      <w:pPr>
        <w:keepNext w:val="0"/>
        <w:keepLines w:val="0"/>
        <w:pageBreakBefore w:val="0"/>
        <w:widowControl w:val="0"/>
        <w:numPr>
          <w:ilvl w:val="0"/>
          <w:numId w:val="0"/>
        </w:numPr>
        <w:kinsoku/>
        <w:wordWrap/>
        <w:overflowPunct/>
        <w:topLinePunct w:val="0"/>
        <w:autoSpaceDE/>
        <w:autoSpaceDN/>
        <w:bidi w:val="0"/>
        <w:adjustRightInd/>
        <w:snapToGrid/>
        <w:spacing w:line="360" w:lineRule="auto"/>
        <w:ind w:leftChars="0" w:firstLine="420" w:firstLineChars="200"/>
        <w:textAlignment w:val="auto"/>
        <w:rPr>
          <w:rFonts w:hint="eastAsia" w:ascii="宋体" w:hAnsi="宋体" w:eastAsia="宋体" w:cs="宋体"/>
          <w:bCs/>
          <w:color w:val="auto"/>
          <w:kern w:val="2"/>
          <w:sz w:val="21"/>
          <w:szCs w:val="21"/>
          <w:highlight w:val="none"/>
          <w:lang w:val="en-US" w:eastAsia="zh-CN"/>
        </w:rPr>
      </w:pPr>
      <w:r>
        <w:rPr>
          <w:rFonts w:hint="eastAsia" w:ascii="宋体" w:hAnsi="宋体" w:eastAsia="宋体" w:cs="宋体"/>
          <w:bCs/>
          <w:color w:val="auto"/>
          <w:kern w:val="2"/>
          <w:sz w:val="21"/>
          <w:szCs w:val="21"/>
          <w:highlight w:val="none"/>
          <w:lang w:val="en-US" w:eastAsia="zh-CN"/>
        </w:rPr>
        <w:t>（3）操作高压灭菌器的人员持证上岗，定期接受培训。</w:t>
      </w:r>
    </w:p>
    <w:p w14:paraId="7318E6E1">
      <w:pPr>
        <w:keepNext w:val="0"/>
        <w:keepLines w:val="0"/>
        <w:pageBreakBefore w:val="0"/>
        <w:widowControl w:val="0"/>
        <w:numPr>
          <w:ilvl w:val="0"/>
          <w:numId w:val="0"/>
        </w:numPr>
        <w:kinsoku/>
        <w:wordWrap/>
        <w:overflowPunct/>
        <w:topLinePunct w:val="0"/>
        <w:autoSpaceDE/>
        <w:autoSpaceDN/>
        <w:bidi w:val="0"/>
        <w:adjustRightInd/>
        <w:snapToGrid/>
        <w:spacing w:before="25" w:after="25" w:line="360" w:lineRule="auto"/>
        <w:ind w:leftChars="0"/>
        <w:jc w:val="left"/>
        <w:textAlignment w:val="auto"/>
        <w:rPr>
          <w:rFonts w:hint="eastAsia" w:ascii="宋体" w:hAnsi="宋体" w:eastAsia="宋体" w:cs="宋体"/>
          <w:b/>
          <w:bCs w:val="0"/>
          <w:color w:val="auto"/>
          <w:spacing w:val="10"/>
          <w:kern w:val="0"/>
          <w:sz w:val="21"/>
          <w:szCs w:val="21"/>
          <w:highlight w:val="none"/>
          <w:lang w:val="en-US" w:eastAsia="zh-CN" w:bidi="ar-SA"/>
        </w:rPr>
      </w:pPr>
      <w:r>
        <w:rPr>
          <w:rFonts w:hint="eastAsia" w:ascii="宋体" w:hAnsi="宋体" w:eastAsia="宋体" w:cs="宋体"/>
          <w:b/>
          <w:bCs w:val="0"/>
          <w:color w:val="auto"/>
          <w:spacing w:val="10"/>
          <w:kern w:val="0"/>
          <w:sz w:val="21"/>
          <w:szCs w:val="21"/>
          <w:highlight w:val="none"/>
          <w:lang w:val="en-US" w:eastAsia="zh-CN" w:bidi="ar-SA"/>
        </w:rPr>
        <w:t>6.发放标准</w:t>
      </w:r>
    </w:p>
    <w:p w14:paraId="079AE057">
      <w:pPr>
        <w:keepNext w:val="0"/>
        <w:keepLines w:val="0"/>
        <w:pageBreakBefore w:val="0"/>
        <w:widowControl w:val="0"/>
        <w:numPr>
          <w:ilvl w:val="0"/>
          <w:numId w:val="0"/>
        </w:numPr>
        <w:kinsoku/>
        <w:wordWrap/>
        <w:overflowPunct/>
        <w:topLinePunct w:val="0"/>
        <w:autoSpaceDE/>
        <w:autoSpaceDN/>
        <w:bidi w:val="0"/>
        <w:adjustRightInd/>
        <w:snapToGrid/>
        <w:spacing w:line="360" w:lineRule="auto"/>
        <w:ind w:leftChars="0" w:firstLine="420" w:firstLineChars="200"/>
        <w:textAlignment w:val="auto"/>
        <w:rPr>
          <w:rFonts w:hint="eastAsia" w:ascii="宋体" w:hAnsi="宋体" w:eastAsia="宋体" w:cs="宋体"/>
          <w:bCs/>
          <w:color w:val="auto"/>
          <w:kern w:val="2"/>
          <w:sz w:val="21"/>
          <w:szCs w:val="21"/>
          <w:highlight w:val="none"/>
          <w:lang w:val="en-US" w:eastAsia="zh-CN"/>
        </w:rPr>
      </w:pPr>
      <w:r>
        <w:rPr>
          <w:rFonts w:hint="eastAsia" w:ascii="宋体" w:hAnsi="宋体" w:eastAsia="宋体" w:cs="宋体"/>
          <w:bCs/>
          <w:color w:val="auto"/>
          <w:kern w:val="2"/>
          <w:sz w:val="21"/>
          <w:szCs w:val="21"/>
          <w:highlight w:val="none"/>
          <w:lang w:val="en-US" w:eastAsia="zh-CN"/>
        </w:rPr>
        <w:t>（1）器械包发放记录有可追溯性。</w:t>
      </w:r>
    </w:p>
    <w:p w14:paraId="5698CF35">
      <w:pPr>
        <w:keepNext w:val="0"/>
        <w:keepLines w:val="0"/>
        <w:pageBreakBefore w:val="0"/>
        <w:widowControl w:val="0"/>
        <w:numPr>
          <w:ilvl w:val="0"/>
          <w:numId w:val="0"/>
        </w:numPr>
        <w:kinsoku/>
        <w:wordWrap/>
        <w:overflowPunct/>
        <w:topLinePunct w:val="0"/>
        <w:autoSpaceDE/>
        <w:autoSpaceDN/>
        <w:bidi w:val="0"/>
        <w:adjustRightInd/>
        <w:snapToGrid/>
        <w:spacing w:line="360" w:lineRule="auto"/>
        <w:ind w:leftChars="0" w:firstLine="420" w:firstLineChars="200"/>
        <w:textAlignment w:val="auto"/>
        <w:rPr>
          <w:rFonts w:hint="eastAsia" w:ascii="宋体" w:hAnsi="宋体" w:eastAsia="宋体" w:cs="宋体"/>
          <w:bCs/>
          <w:color w:val="auto"/>
          <w:kern w:val="2"/>
          <w:sz w:val="21"/>
          <w:szCs w:val="21"/>
          <w:highlight w:val="none"/>
          <w:lang w:val="en-US" w:eastAsia="zh-CN"/>
        </w:rPr>
      </w:pPr>
      <w:r>
        <w:rPr>
          <w:rFonts w:hint="eastAsia" w:ascii="宋体" w:hAnsi="宋体" w:eastAsia="宋体" w:cs="宋体"/>
          <w:bCs/>
          <w:color w:val="auto"/>
          <w:kern w:val="2"/>
          <w:sz w:val="21"/>
          <w:szCs w:val="21"/>
          <w:highlight w:val="none"/>
          <w:lang w:val="en-US" w:eastAsia="zh-CN"/>
        </w:rPr>
        <w:t>（2）所有发放的物品必需检查其包装及标签的完整性，确保没有湿包及破包，并做到临床科室物品发放准确无误。</w:t>
      </w:r>
    </w:p>
    <w:p w14:paraId="26CFD9D1">
      <w:pPr>
        <w:keepNext w:val="0"/>
        <w:keepLines w:val="0"/>
        <w:pageBreakBefore w:val="0"/>
        <w:widowControl w:val="0"/>
        <w:numPr>
          <w:ilvl w:val="0"/>
          <w:numId w:val="0"/>
        </w:numPr>
        <w:kinsoku/>
        <w:wordWrap/>
        <w:overflowPunct/>
        <w:topLinePunct w:val="0"/>
        <w:autoSpaceDE/>
        <w:autoSpaceDN/>
        <w:bidi w:val="0"/>
        <w:adjustRightInd/>
        <w:snapToGrid/>
        <w:spacing w:line="360" w:lineRule="auto"/>
        <w:ind w:leftChars="0" w:firstLine="420" w:firstLineChars="200"/>
        <w:textAlignment w:val="auto"/>
        <w:rPr>
          <w:rFonts w:hint="eastAsia" w:ascii="宋体" w:hAnsi="宋体" w:eastAsia="宋体" w:cs="宋体"/>
          <w:bCs/>
          <w:color w:val="auto"/>
          <w:kern w:val="2"/>
          <w:sz w:val="21"/>
          <w:szCs w:val="21"/>
          <w:highlight w:val="none"/>
          <w:lang w:val="en-US" w:eastAsia="zh-CN"/>
        </w:rPr>
      </w:pPr>
      <w:r>
        <w:rPr>
          <w:rFonts w:hint="eastAsia" w:ascii="宋体" w:hAnsi="宋体" w:eastAsia="宋体" w:cs="宋体"/>
          <w:bCs/>
          <w:color w:val="auto"/>
          <w:kern w:val="2"/>
          <w:sz w:val="21"/>
          <w:szCs w:val="21"/>
          <w:highlight w:val="none"/>
          <w:lang w:val="en-US" w:eastAsia="zh-CN"/>
        </w:rPr>
        <w:t>（3）如在运输过程中发生问题导致器械的损坏或者遗失应按原价格赔偿。</w:t>
      </w:r>
    </w:p>
    <w:p w14:paraId="6672847D">
      <w:pPr>
        <w:keepNext w:val="0"/>
        <w:keepLines w:val="0"/>
        <w:pageBreakBefore w:val="0"/>
        <w:widowControl w:val="0"/>
        <w:numPr>
          <w:ilvl w:val="0"/>
          <w:numId w:val="0"/>
        </w:numPr>
        <w:kinsoku/>
        <w:wordWrap/>
        <w:overflowPunct/>
        <w:topLinePunct w:val="0"/>
        <w:autoSpaceDE/>
        <w:autoSpaceDN/>
        <w:bidi w:val="0"/>
        <w:adjustRightInd/>
        <w:snapToGrid/>
        <w:spacing w:line="360" w:lineRule="auto"/>
        <w:ind w:leftChars="0" w:firstLine="420" w:firstLineChars="200"/>
        <w:textAlignment w:val="auto"/>
        <w:rPr>
          <w:rFonts w:hint="eastAsia" w:ascii="宋体" w:hAnsi="宋体" w:eastAsia="宋体" w:cs="宋体"/>
          <w:bCs/>
          <w:color w:val="auto"/>
          <w:kern w:val="2"/>
          <w:sz w:val="21"/>
          <w:szCs w:val="21"/>
          <w:highlight w:val="none"/>
          <w:lang w:val="en-US" w:eastAsia="zh-CN"/>
        </w:rPr>
      </w:pPr>
      <w:r>
        <w:rPr>
          <w:rFonts w:hint="eastAsia" w:ascii="宋体" w:hAnsi="宋体" w:eastAsia="宋体" w:cs="宋体"/>
          <w:bCs/>
          <w:color w:val="auto"/>
          <w:kern w:val="2"/>
          <w:sz w:val="21"/>
          <w:szCs w:val="21"/>
          <w:highlight w:val="none"/>
          <w:lang w:val="en-US" w:eastAsia="zh-CN"/>
        </w:rPr>
        <w:t>（4）要求每次物品发放的时间不超过双方协定的时间。</w:t>
      </w:r>
    </w:p>
    <w:p w14:paraId="2175DBCE">
      <w:pPr>
        <w:keepNext w:val="0"/>
        <w:keepLines w:val="0"/>
        <w:pageBreakBefore w:val="0"/>
        <w:widowControl w:val="0"/>
        <w:numPr>
          <w:ilvl w:val="0"/>
          <w:numId w:val="0"/>
        </w:numPr>
        <w:kinsoku/>
        <w:wordWrap/>
        <w:overflowPunct/>
        <w:topLinePunct w:val="0"/>
        <w:autoSpaceDE/>
        <w:autoSpaceDN/>
        <w:bidi w:val="0"/>
        <w:adjustRightInd/>
        <w:snapToGrid/>
        <w:spacing w:line="360" w:lineRule="auto"/>
        <w:ind w:leftChars="0" w:firstLine="420" w:firstLineChars="200"/>
        <w:textAlignment w:val="auto"/>
        <w:rPr>
          <w:rFonts w:hint="eastAsia" w:ascii="宋体" w:hAnsi="宋体" w:eastAsia="宋体" w:cs="宋体"/>
          <w:bCs/>
          <w:color w:val="auto"/>
          <w:kern w:val="2"/>
          <w:sz w:val="21"/>
          <w:szCs w:val="21"/>
          <w:highlight w:val="none"/>
          <w:lang w:val="en-US" w:eastAsia="zh-CN"/>
        </w:rPr>
      </w:pPr>
      <w:r>
        <w:rPr>
          <w:rFonts w:hint="eastAsia" w:ascii="宋体" w:hAnsi="宋体" w:eastAsia="宋体" w:cs="宋体"/>
          <w:bCs/>
          <w:color w:val="auto"/>
          <w:kern w:val="2"/>
          <w:sz w:val="21"/>
          <w:szCs w:val="21"/>
          <w:highlight w:val="none"/>
          <w:lang w:val="en-US" w:eastAsia="zh-CN"/>
        </w:rPr>
        <w:t>（5）签收：中标人指派专职人员运送给采购人的物品都应将由采购人当场检査，（中标人物品封箱，采购人核对交接单箱数并检查运送箱外观清洁干燥无破损）以确保交付的物品符合采购人发货单，且外观上可接受（比如包装未受损坏和干燥)。确认无误后采购人在交接 1 个小时内由其授权人员在运送单上签收,并将签收运送单送至双方约定的地点以供中标人专职人员取回。签收的数量将作为当月账款结算的依据。交接 3小时内临床使用反馈经采购人确认不能接受的物品：外观上不可接受（比如包装损坏和未干燥)；或者临床科室开包使用时发现包内物品破损、污垢、灭菌失败等不合格包时，退回中标人重新灭菌，采购人有权追究相关责任。</w:t>
      </w:r>
    </w:p>
    <w:p w14:paraId="428D9AA0">
      <w:pPr>
        <w:keepNext w:val="0"/>
        <w:keepLines w:val="0"/>
        <w:pageBreakBefore w:val="0"/>
        <w:widowControl w:val="0"/>
        <w:kinsoku/>
        <w:wordWrap/>
        <w:overflowPunct/>
        <w:topLinePunct w:val="0"/>
        <w:autoSpaceDE/>
        <w:autoSpaceDN/>
        <w:bidi w:val="0"/>
        <w:adjustRightInd/>
        <w:snapToGrid/>
        <w:spacing w:line="360" w:lineRule="auto"/>
        <w:textAlignment w:val="auto"/>
        <w:rPr>
          <w:rFonts w:hint="eastAsia" w:ascii="宋体" w:hAnsi="宋体" w:eastAsia="宋体" w:cs="宋体"/>
          <w:b/>
          <w:bCs/>
          <w:color w:val="auto"/>
          <w:kern w:val="2"/>
          <w:sz w:val="21"/>
          <w:szCs w:val="21"/>
          <w:highlight w:val="none"/>
        </w:rPr>
      </w:pPr>
      <w:r>
        <w:rPr>
          <w:rFonts w:hint="eastAsia" w:ascii="宋体" w:hAnsi="宋体" w:eastAsia="宋体" w:cs="宋体"/>
          <w:b/>
          <w:bCs/>
          <w:color w:val="auto"/>
          <w:kern w:val="2"/>
          <w:sz w:val="21"/>
          <w:szCs w:val="21"/>
          <w:highlight w:val="none"/>
          <w:lang w:val="en-US" w:eastAsia="zh-CN"/>
        </w:rPr>
        <w:t>7</w:t>
      </w:r>
      <w:r>
        <w:rPr>
          <w:rFonts w:hint="eastAsia" w:ascii="宋体" w:hAnsi="宋体" w:eastAsia="宋体" w:cs="宋体"/>
          <w:b/>
          <w:bCs/>
          <w:color w:val="auto"/>
          <w:kern w:val="2"/>
          <w:sz w:val="21"/>
          <w:szCs w:val="21"/>
          <w:highlight w:val="none"/>
        </w:rPr>
        <w:t>.物件器械丟失处理方法</w:t>
      </w:r>
    </w:p>
    <w:p w14:paraId="28B6C3BB">
      <w:pPr>
        <w:keepNext w:val="0"/>
        <w:keepLines w:val="0"/>
        <w:pageBreakBefore w:val="0"/>
        <w:widowControl w:val="0"/>
        <w:kinsoku/>
        <w:wordWrap/>
        <w:overflowPunct/>
        <w:topLinePunct w:val="0"/>
        <w:autoSpaceDE/>
        <w:autoSpaceDN/>
        <w:bidi w:val="0"/>
        <w:adjustRightInd/>
        <w:snapToGrid/>
        <w:spacing w:line="360" w:lineRule="auto"/>
        <w:ind w:firstLine="420" w:firstLineChars="200"/>
        <w:textAlignment w:val="auto"/>
        <w:rPr>
          <w:rFonts w:hint="eastAsia" w:ascii="宋体" w:hAnsi="宋体" w:eastAsia="宋体" w:cs="宋体"/>
          <w:bCs/>
          <w:color w:val="auto"/>
          <w:kern w:val="2"/>
          <w:sz w:val="21"/>
          <w:szCs w:val="21"/>
          <w:highlight w:val="none"/>
        </w:rPr>
      </w:pPr>
      <w:r>
        <w:rPr>
          <w:rFonts w:hint="eastAsia" w:ascii="宋体" w:hAnsi="宋体" w:eastAsia="宋体" w:cs="宋体"/>
          <w:bCs/>
          <w:color w:val="auto"/>
          <w:kern w:val="2"/>
          <w:sz w:val="21"/>
          <w:szCs w:val="21"/>
          <w:highlight w:val="none"/>
        </w:rPr>
        <w:t>临床回收器械由</w:t>
      </w:r>
      <w:r>
        <w:rPr>
          <w:rFonts w:hint="eastAsia" w:ascii="宋体" w:hAnsi="宋体" w:eastAsia="宋体" w:cs="宋体"/>
          <w:bCs/>
          <w:color w:val="auto"/>
          <w:kern w:val="2"/>
          <w:sz w:val="21"/>
          <w:szCs w:val="21"/>
          <w:highlight w:val="none"/>
          <w:lang w:eastAsia="zh-CN"/>
        </w:rPr>
        <w:t>采购人</w:t>
      </w:r>
      <w:r>
        <w:rPr>
          <w:rFonts w:hint="eastAsia" w:ascii="宋体" w:hAnsi="宋体" w:eastAsia="宋体" w:cs="宋体"/>
          <w:bCs/>
          <w:color w:val="auto"/>
          <w:kern w:val="2"/>
          <w:sz w:val="21"/>
          <w:szCs w:val="21"/>
          <w:highlight w:val="none"/>
        </w:rPr>
        <w:t>回收至</w:t>
      </w:r>
      <w:r>
        <w:rPr>
          <w:rFonts w:hint="eastAsia" w:ascii="宋体" w:hAnsi="宋体" w:eastAsia="宋体" w:cs="宋体"/>
          <w:bCs/>
          <w:color w:val="auto"/>
          <w:kern w:val="2"/>
          <w:sz w:val="21"/>
          <w:szCs w:val="21"/>
          <w:highlight w:val="none"/>
          <w:lang w:val="en-US" w:eastAsia="zh-CN"/>
        </w:rPr>
        <w:t>医院</w:t>
      </w:r>
      <w:r>
        <w:rPr>
          <w:rFonts w:hint="eastAsia" w:ascii="宋体" w:hAnsi="宋体" w:eastAsia="宋体" w:cs="宋体"/>
          <w:bCs/>
          <w:color w:val="auto"/>
          <w:kern w:val="2"/>
          <w:sz w:val="21"/>
          <w:szCs w:val="21"/>
          <w:highlight w:val="none"/>
        </w:rPr>
        <w:t>指定的暂存点，中标人到医院指定的暂存点回收器械，回收器械运输至中标人供应中心1小时</w:t>
      </w:r>
      <w:r>
        <w:rPr>
          <w:rFonts w:hint="eastAsia" w:ascii="宋体" w:hAnsi="宋体" w:eastAsia="宋体" w:cs="宋体"/>
          <w:bCs/>
          <w:color w:val="auto"/>
          <w:kern w:val="2"/>
          <w:sz w:val="21"/>
          <w:szCs w:val="21"/>
          <w:highlight w:val="none"/>
          <w:lang w:val="en-US" w:eastAsia="zh-CN"/>
        </w:rPr>
        <w:t>后</w:t>
      </w:r>
      <w:r>
        <w:rPr>
          <w:rFonts w:hint="eastAsia" w:ascii="宋体" w:hAnsi="宋体" w:eastAsia="宋体" w:cs="宋体"/>
          <w:bCs/>
          <w:color w:val="auto"/>
          <w:kern w:val="2"/>
          <w:sz w:val="21"/>
          <w:szCs w:val="21"/>
          <w:highlight w:val="none"/>
        </w:rPr>
        <w:t>，发现器械丢失或</w:t>
      </w:r>
      <w:r>
        <w:rPr>
          <w:rFonts w:hint="eastAsia" w:ascii="宋体" w:hAnsi="宋体" w:eastAsia="宋体" w:cs="宋体"/>
          <w:bCs/>
          <w:color w:val="auto"/>
          <w:kern w:val="2"/>
          <w:sz w:val="21"/>
          <w:szCs w:val="21"/>
          <w:highlight w:val="none"/>
          <w:lang w:val="en-US" w:eastAsia="zh-CN"/>
        </w:rPr>
        <w:t>者</w:t>
      </w:r>
      <w:r>
        <w:rPr>
          <w:rFonts w:hint="eastAsia" w:ascii="宋体" w:hAnsi="宋体" w:eastAsia="宋体" w:cs="宋体"/>
          <w:bCs/>
          <w:color w:val="auto"/>
          <w:kern w:val="2"/>
          <w:sz w:val="21"/>
          <w:szCs w:val="21"/>
          <w:highlight w:val="none"/>
        </w:rPr>
        <w:t>损坏，责任由</w:t>
      </w:r>
      <w:r>
        <w:rPr>
          <w:rFonts w:hint="eastAsia" w:ascii="宋体" w:hAnsi="宋体" w:eastAsia="宋体" w:cs="宋体"/>
          <w:bCs/>
          <w:color w:val="auto"/>
          <w:kern w:val="2"/>
          <w:sz w:val="21"/>
          <w:szCs w:val="21"/>
          <w:highlight w:val="none"/>
          <w:lang w:eastAsia="zh-CN"/>
        </w:rPr>
        <w:t>采购人</w:t>
      </w:r>
      <w:r>
        <w:rPr>
          <w:rFonts w:hint="eastAsia" w:ascii="宋体" w:hAnsi="宋体" w:eastAsia="宋体" w:cs="宋体"/>
          <w:bCs/>
          <w:color w:val="auto"/>
          <w:kern w:val="2"/>
          <w:sz w:val="21"/>
          <w:szCs w:val="21"/>
          <w:highlight w:val="none"/>
        </w:rPr>
        <w:t>承担（中标人提供相关证据）。</w:t>
      </w:r>
      <w:r>
        <w:rPr>
          <w:rFonts w:hint="eastAsia" w:ascii="宋体" w:hAnsi="宋体" w:eastAsia="宋体" w:cs="宋体"/>
          <w:bCs/>
          <w:color w:val="auto"/>
          <w:kern w:val="2"/>
          <w:sz w:val="21"/>
          <w:szCs w:val="21"/>
          <w:highlight w:val="none"/>
          <w:lang w:eastAsia="zh-CN"/>
        </w:rPr>
        <w:t>采购人</w:t>
      </w:r>
      <w:r>
        <w:rPr>
          <w:rFonts w:hint="eastAsia" w:ascii="宋体" w:hAnsi="宋体" w:eastAsia="宋体" w:cs="宋体"/>
          <w:bCs/>
          <w:color w:val="auto"/>
          <w:kern w:val="2"/>
          <w:sz w:val="21"/>
          <w:szCs w:val="21"/>
          <w:highlight w:val="none"/>
        </w:rPr>
        <w:t>在开包1小时内发现器械丢失或</w:t>
      </w:r>
      <w:r>
        <w:rPr>
          <w:rFonts w:hint="eastAsia" w:ascii="宋体" w:hAnsi="宋体" w:eastAsia="宋体" w:cs="宋体"/>
          <w:bCs/>
          <w:color w:val="auto"/>
          <w:kern w:val="2"/>
          <w:sz w:val="21"/>
          <w:szCs w:val="21"/>
          <w:highlight w:val="none"/>
          <w:lang w:val="en-US" w:eastAsia="zh-CN"/>
        </w:rPr>
        <w:t>者</w:t>
      </w:r>
      <w:r>
        <w:rPr>
          <w:rFonts w:hint="eastAsia" w:ascii="宋体" w:hAnsi="宋体" w:eastAsia="宋体" w:cs="宋体"/>
          <w:bCs/>
          <w:color w:val="auto"/>
          <w:kern w:val="2"/>
          <w:sz w:val="21"/>
          <w:szCs w:val="21"/>
          <w:highlight w:val="none"/>
        </w:rPr>
        <w:t>损坏，由中标人承担</w:t>
      </w:r>
      <w:r>
        <w:rPr>
          <w:rFonts w:hint="eastAsia" w:ascii="宋体" w:hAnsi="宋体" w:eastAsia="宋体" w:cs="宋体"/>
          <w:bCs/>
          <w:color w:val="auto"/>
          <w:kern w:val="2"/>
          <w:sz w:val="21"/>
          <w:szCs w:val="21"/>
          <w:highlight w:val="none"/>
          <w:lang w:val="en-US" w:eastAsia="zh-CN"/>
        </w:rPr>
        <w:t>按原价</w:t>
      </w:r>
      <w:r>
        <w:rPr>
          <w:rFonts w:hint="eastAsia" w:ascii="宋体" w:hAnsi="宋体" w:eastAsia="宋体" w:cs="宋体"/>
          <w:bCs/>
          <w:color w:val="auto"/>
          <w:kern w:val="2"/>
          <w:sz w:val="21"/>
          <w:szCs w:val="21"/>
          <w:highlight w:val="none"/>
        </w:rPr>
        <w:t>赔偿责任。</w:t>
      </w:r>
    </w:p>
    <w:p w14:paraId="24EF44F2">
      <w:pPr>
        <w:keepNext w:val="0"/>
        <w:keepLines w:val="0"/>
        <w:pageBreakBefore w:val="0"/>
        <w:widowControl w:val="0"/>
        <w:numPr>
          <w:ilvl w:val="0"/>
          <w:numId w:val="0"/>
        </w:numPr>
        <w:kinsoku/>
        <w:wordWrap/>
        <w:overflowPunct/>
        <w:topLinePunct w:val="0"/>
        <w:autoSpaceDE/>
        <w:autoSpaceDN/>
        <w:bidi w:val="0"/>
        <w:adjustRightInd/>
        <w:snapToGrid/>
        <w:spacing w:line="360" w:lineRule="auto"/>
        <w:ind w:leftChars="0" w:firstLine="420" w:firstLineChars="200"/>
        <w:textAlignment w:val="auto"/>
        <w:rPr>
          <w:rFonts w:hint="eastAsia" w:ascii="宋体" w:hAnsi="宋体" w:eastAsia="宋体" w:cs="宋体"/>
          <w:bCs/>
          <w:color w:val="auto"/>
          <w:kern w:val="2"/>
          <w:sz w:val="21"/>
          <w:szCs w:val="21"/>
          <w:highlight w:val="none"/>
          <w:lang w:val="en-US" w:eastAsia="zh-CN"/>
        </w:rPr>
      </w:pPr>
      <w:r>
        <w:rPr>
          <w:rFonts w:hint="eastAsia" w:ascii="宋体" w:hAnsi="宋体" w:eastAsia="宋体" w:cs="宋体"/>
          <w:bCs/>
          <w:color w:val="auto"/>
          <w:kern w:val="2"/>
          <w:sz w:val="21"/>
          <w:szCs w:val="21"/>
          <w:highlight w:val="none"/>
          <w:lang w:val="en-US" w:eastAsia="zh-CN"/>
        </w:rPr>
        <w:t>（1）在服务过程中,双方均需要对清洗、灭菌的器械或者设备在各自的责任范围内尽各自的义务并承担责任。责任方须承担一切在其责任范围内所造成的关于器械的损坏或者丟失所产生的成本，责任方须尽快对该器械或者设备进行更换或者修理,若因器械更换或者修理而耽误使用所造成的损失，由责任方承担。</w:t>
      </w:r>
    </w:p>
    <w:p w14:paraId="2F652E92">
      <w:pPr>
        <w:keepNext w:val="0"/>
        <w:keepLines w:val="0"/>
        <w:pageBreakBefore w:val="0"/>
        <w:widowControl w:val="0"/>
        <w:numPr>
          <w:ilvl w:val="0"/>
          <w:numId w:val="0"/>
        </w:numPr>
        <w:kinsoku/>
        <w:wordWrap/>
        <w:overflowPunct/>
        <w:topLinePunct w:val="0"/>
        <w:autoSpaceDE/>
        <w:autoSpaceDN/>
        <w:bidi w:val="0"/>
        <w:adjustRightInd/>
        <w:snapToGrid/>
        <w:spacing w:line="360" w:lineRule="auto"/>
        <w:ind w:leftChars="0" w:firstLine="420" w:firstLineChars="200"/>
        <w:textAlignment w:val="auto"/>
        <w:rPr>
          <w:rFonts w:hint="eastAsia" w:ascii="宋体" w:hAnsi="宋体" w:eastAsia="宋体" w:cs="宋体"/>
          <w:bCs/>
          <w:color w:val="auto"/>
          <w:kern w:val="2"/>
          <w:sz w:val="21"/>
          <w:szCs w:val="21"/>
          <w:highlight w:val="none"/>
          <w:lang w:val="en-US" w:eastAsia="zh-CN"/>
        </w:rPr>
      </w:pPr>
      <w:r>
        <w:rPr>
          <w:rFonts w:hint="eastAsia" w:ascii="宋体" w:hAnsi="宋体" w:eastAsia="宋体" w:cs="宋体"/>
          <w:bCs/>
          <w:color w:val="auto"/>
          <w:kern w:val="2"/>
          <w:sz w:val="21"/>
          <w:szCs w:val="21"/>
          <w:highlight w:val="none"/>
          <w:lang w:val="en-US" w:eastAsia="zh-CN"/>
        </w:rPr>
        <w:t>（2）需清洗的器械在采购人中转区进行交接时发现器械损坏或者丢失由采购人负责更换或者修理；交接完毕的后续环节发现器械不合格由中标人更换或者维修。</w:t>
      </w:r>
    </w:p>
    <w:p w14:paraId="63F2B073">
      <w:pPr>
        <w:keepNext w:val="0"/>
        <w:keepLines w:val="0"/>
        <w:pageBreakBefore w:val="0"/>
        <w:widowControl w:val="0"/>
        <w:numPr>
          <w:ilvl w:val="0"/>
          <w:numId w:val="0"/>
        </w:numPr>
        <w:kinsoku/>
        <w:wordWrap/>
        <w:overflowPunct/>
        <w:topLinePunct w:val="0"/>
        <w:autoSpaceDE/>
        <w:autoSpaceDN/>
        <w:bidi w:val="0"/>
        <w:adjustRightInd/>
        <w:snapToGrid/>
        <w:spacing w:line="360" w:lineRule="auto"/>
        <w:ind w:leftChars="0" w:firstLine="420" w:firstLineChars="200"/>
        <w:textAlignment w:val="auto"/>
        <w:rPr>
          <w:rFonts w:hint="eastAsia" w:ascii="宋体" w:hAnsi="宋体" w:eastAsia="宋体" w:cs="宋体"/>
          <w:bCs/>
          <w:color w:val="auto"/>
          <w:kern w:val="2"/>
          <w:sz w:val="21"/>
          <w:szCs w:val="21"/>
          <w:highlight w:val="none"/>
          <w:lang w:val="en-US" w:eastAsia="zh-CN"/>
        </w:rPr>
      </w:pPr>
      <w:r>
        <w:rPr>
          <w:rFonts w:hint="eastAsia" w:ascii="宋体" w:hAnsi="宋体" w:eastAsia="宋体" w:cs="宋体"/>
          <w:bCs/>
          <w:color w:val="auto"/>
          <w:kern w:val="2"/>
          <w:sz w:val="21"/>
          <w:szCs w:val="21"/>
          <w:highlight w:val="none"/>
          <w:lang w:val="en-US" w:eastAsia="zh-CN"/>
        </w:rPr>
        <w:t>（3）采购人在打开已灭菌的器械未进行使用时发现器械损坏或者丢失，由采购人电话联系中标人，由中标人负责更换或者维修。</w:t>
      </w:r>
    </w:p>
    <w:p w14:paraId="1FEB7AAB">
      <w:pPr>
        <w:keepNext w:val="0"/>
        <w:keepLines w:val="0"/>
        <w:pageBreakBefore w:val="0"/>
        <w:widowControl w:val="0"/>
        <w:kinsoku/>
        <w:wordWrap/>
        <w:overflowPunct/>
        <w:topLinePunct w:val="0"/>
        <w:autoSpaceDE/>
        <w:autoSpaceDN/>
        <w:bidi w:val="0"/>
        <w:adjustRightInd/>
        <w:snapToGrid/>
        <w:spacing w:line="360" w:lineRule="auto"/>
        <w:textAlignment w:val="auto"/>
        <w:rPr>
          <w:rFonts w:hint="eastAsia" w:ascii="宋体" w:hAnsi="宋体" w:eastAsia="宋体" w:cs="宋体"/>
          <w:b/>
          <w:bCs/>
          <w:color w:val="auto"/>
          <w:kern w:val="2"/>
          <w:sz w:val="21"/>
          <w:szCs w:val="21"/>
          <w:highlight w:val="none"/>
        </w:rPr>
      </w:pPr>
      <w:r>
        <w:rPr>
          <w:rFonts w:hint="eastAsia" w:ascii="宋体" w:hAnsi="宋体" w:eastAsia="宋体" w:cs="宋体"/>
          <w:b/>
          <w:bCs/>
          <w:color w:val="auto"/>
          <w:kern w:val="2"/>
          <w:sz w:val="21"/>
          <w:szCs w:val="21"/>
          <w:highlight w:val="none"/>
          <w:lang w:val="en-US" w:eastAsia="zh-CN"/>
        </w:rPr>
        <w:t>8.</w:t>
      </w:r>
      <w:r>
        <w:rPr>
          <w:rFonts w:hint="eastAsia" w:ascii="宋体" w:hAnsi="宋体" w:eastAsia="宋体" w:cs="宋体"/>
          <w:b/>
          <w:bCs/>
          <w:color w:val="auto"/>
          <w:kern w:val="2"/>
          <w:sz w:val="21"/>
          <w:szCs w:val="21"/>
          <w:highlight w:val="none"/>
        </w:rPr>
        <w:t>可复用的诊疗器械、器具的状况和修理</w:t>
      </w:r>
    </w:p>
    <w:p w14:paraId="727ACB47">
      <w:pPr>
        <w:keepNext w:val="0"/>
        <w:keepLines w:val="0"/>
        <w:pageBreakBefore w:val="0"/>
        <w:widowControl w:val="0"/>
        <w:kinsoku/>
        <w:wordWrap/>
        <w:overflowPunct/>
        <w:topLinePunct w:val="0"/>
        <w:autoSpaceDE/>
        <w:autoSpaceDN/>
        <w:bidi w:val="0"/>
        <w:adjustRightInd/>
        <w:snapToGrid/>
        <w:spacing w:line="360" w:lineRule="auto"/>
        <w:ind w:firstLine="420" w:firstLineChars="200"/>
        <w:textAlignment w:val="auto"/>
        <w:rPr>
          <w:rFonts w:hint="default" w:ascii="宋体" w:hAnsi="宋体" w:eastAsia="宋体" w:cs="宋体"/>
          <w:bCs/>
          <w:color w:val="auto"/>
          <w:kern w:val="2"/>
          <w:sz w:val="21"/>
          <w:szCs w:val="21"/>
          <w:highlight w:val="none"/>
          <w:lang w:val="en-US" w:eastAsia="zh-CN"/>
        </w:rPr>
      </w:pPr>
      <w:r>
        <w:rPr>
          <w:rFonts w:hint="eastAsia" w:ascii="宋体" w:hAnsi="宋体" w:eastAsia="宋体" w:cs="宋体"/>
          <w:bCs/>
          <w:color w:val="auto"/>
          <w:kern w:val="2"/>
          <w:sz w:val="21"/>
          <w:szCs w:val="21"/>
          <w:highlight w:val="none"/>
          <w:lang w:eastAsia="zh-CN"/>
        </w:rPr>
        <w:t>采购人</w:t>
      </w:r>
      <w:r>
        <w:rPr>
          <w:rFonts w:hint="eastAsia" w:ascii="宋体" w:hAnsi="宋体" w:eastAsia="宋体" w:cs="宋体"/>
          <w:bCs/>
          <w:color w:val="auto"/>
          <w:kern w:val="2"/>
          <w:sz w:val="21"/>
          <w:szCs w:val="21"/>
          <w:highlight w:val="none"/>
        </w:rPr>
        <w:t>鉴别并决定器械是否已经不适宜继续使用并决定器械是否需要修理</w:t>
      </w:r>
      <w:r>
        <w:rPr>
          <w:rFonts w:hint="eastAsia" w:ascii="宋体" w:hAnsi="宋体" w:eastAsia="宋体" w:cs="宋体"/>
          <w:bCs/>
          <w:color w:val="auto"/>
          <w:kern w:val="2"/>
          <w:sz w:val="21"/>
          <w:szCs w:val="21"/>
          <w:highlight w:val="none"/>
          <w:lang w:eastAsia="zh-CN"/>
        </w:rPr>
        <w:t>，</w:t>
      </w:r>
      <w:r>
        <w:rPr>
          <w:rFonts w:hint="eastAsia" w:ascii="宋体" w:hAnsi="宋体" w:eastAsia="宋体" w:cs="宋体"/>
          <w:bCs/>
          <w:color w:val="auto"/>
          <w:kern w:val="2"/>
          <w:sz w:val="21"/>
          <w:szCs w:val="21"/>
          <w:highlight w:val="none"/>
        </w:rPr>
        <w:t>器械更换由</w:t>
      </w:r>
      <w:r>
        <w:rPr>
          <w:rFonts w:hint="eastAsia" w:ascii="宋体" w:hAnsi="宋体" w:eastAsia="宋体" w:cs="宋体"/>
          <w:bCs/>
          <w:color w:val="auto"/>
          <w:kern w:val="2"/>
          <w:sz w:val="21"/>
          <w:szCs w:val="21"/>
          <w:highlight w:val="none"/>
          <w:lang w:eastAsia="zh-CN"/>
        </w:rPr>
        <w:t>采购人</w:t>
      </w:r>
      <w:r>
        <w:rPr>
          <w:rFonts w:hint="eastAsia" w:ascii="宋体" w:hAnsi="宋体" w:eastAsia="宋体" w:cs="宋体"/>
          <w:bCs/>
          <w:color w:val="auto"/>
          <w:kern w:val="2"/>
          <w:sz w:val="21"/>
          <w:szCs w:val="21"/>
          <w:highlight w:val="none"/>
        </w:rPr>
        <w:t>确定。中标人将尽量确保在切实可行的条件下将可复用的诊疗器械、器具使用条件保持在优质水平。中标人对损坏的器械、器具进行认定并且需要将情况向</w:t>
      </w:r>
      <w:r>
        <w:rPr>
          <w:rFonts w:hint="eastAsia" w:ascii="宋体" w:hAnsi="宋体" w:eastAsia="宋体" w:cs="宋体"/>
          <w:bCs/>
          <w:color w:val="auto"/>
          <w:kern w:val="2"/>
          <w:sz w:val="21"/>
          <w:szCs w:val="21"/>
          <w:highlight w:val="none"/>
          <w:lang w:eastAsia="zh-CN"/>
        </w:rPr>
        <w:t>采购人</w:t>
      </w:r>
      <w:r>
        <w:rPr>
          <w:rFonts w:hint="eastAsia" w:ascii="宋体" w:hAnsi="宋体" w:eastAsia="宋体" w:cs="宋体"/>
          <w:bCs/>
          <w:color w:val="auto"/>
          <w:kern w:val="2"/>
          <w:sz w:val="21"/>
          <w:szCs w:val="21"/>
          <w:highlight w:val="none"/>
        </w:rPr>
        <w:t>授权的联系专员进行书面通报并将该书面报告存档。对器械修理需要通过</w:t>
      </w:r>
      <w:r>
        <w:rPr>
          <w:rFonts w:hint="eastAsia" w:ascii="宋体" w:hAnsi="宋体" w:eastAsia="宋体" w:cs="宋体"/>
          <w:bCs/>
          <w:color w:val="auto"/>
          <w:kern w:val="2"/>
          <w:sz w:val="21"/>
          <w:szCs w:val="21"/>
          <w:highlight w:val="none"/>
          <w:lang w:eastAsia="zh-CN"/>
        </w:rPr>
        <w:t>采购人</w:t>
      </w:r>
      <w:r>
        <w:rPr>
          <w:rFonts w:hint="eastAsia" w:ascii="宋体" w:hAnsi="宋体" w:eastAsia="宋体" w:cs="宋体"/>
          <w:bCs/>
          <w:color w:val="auto"/>
          <w:kern w:val="2"/>
          <w:sz w:val="21"/>
          <w:szCs w:val="21"/>
          <w:highlight w:val="none"/>
        </w:rPr>
        <w:t>授权人批准通过后中标人才可将损坏的器械送给经</w:t>
      </w:r>
      <w:r>
        <w:rPr>
          <w:rFonts w:hint="eastAsia" w:ascii="宋体" w:hAnsi="宋体" w:eastAsia="宋体" w:cs="宋体"/>
          <w:bCs/>
          <w:color w:val="auto"/>
          <w:kern w:val="2"/>
          <w:sz w:val="21"/>
          <w:szCs w:val="21"/>
          <w:highlight w:val="none"/>
          <w:lang w:val="en-US" w:eastAsia="zh-CN"/>
        </w:rPr>
        <w:t>采购人</w:t>
      </w:r>
      <w:r>
        <w:rPr>
          <w:rFonts w:hint="eastAsia" w:ascii="宋体" w:hAnsi="宋体" w:eastAsia="宋体" w:cs="宋体"/>
          <w:bCs/>
          <w:color w:val="auto"/>
          <w:kern w:val="2"/>
          <w:sz w:val="21"/>
          <w:szCs w:val="21"/>
          <w:highlight w:val="none"/>
        </w:rPr>
        <w:t>认可的修理公司进行修理。修理器械所产生的成本将会由</w:t>
      </w:r>
      <w:r>
        <w:rPr>
          <w:rFonts w:hint="eastAsia" w:ascii="宋体" w:hAnsi="宋体" w:eastAsia="宋体" w:cs="宋体"/>
          <w:bCs/>
          <w:color w:val="auto"/>
          <w:kern w:val="2"/>
          <w:sz w:val="21"/>
          <w:szCs w:val="21"/>
          <w:highlight w:val="none"/>
          <w:lang w:eastAsia="zh-CN"/>
        </w:rPr>
        <w:t>采购人</w:t>
      </w:r>
      <w:r>
        <w:rPr>
          <w:rFonts w:hint="eastAsia" w:ascii="宋体" w:hAnsi="宋体" w:eastAsia="宋体" w:cs="宋体"/>
          <w:bCs/>
          <w:color w:val="auto"/>
          <w:kern w:val="2"/>
          <w:sz w:val="21"/>
          <w:szCs w:val="21"/>
          <w:highlight w:val="none"/>
        </w:rPr>
        <w:t>承担（器械维修费、运输费用不被包含在</w:t>
      </w:r>
      <w:r>
        <w:rPr>
          <w:rFonts w:hint="eastAsia" w:ascii="宋体" w:hAnsi="宋体" w:eastAsia="宋体" w:cs="宋体"/>
          <w:bCs/>
          <w:color w:val="auto"/>
          <w:kern w:val="2"/>
          <w:sz w:val="21"/>
          <w:szCs w:val="21"/>
          <w:highlight w:val="none"/>
          <w:lang w:val="en-US" w:eastAsia="zh-CN"/>
        </w:rPr>
        <w:t>投标报价</w:t>
      </w:r>
      <w:r>
        <w:rPr>
          <w:rFonts w:hint="eastAsia" w:ascii="宋体" w:hAnsi="宋体" w:eastAsia="宋体" w:cs="宋体"/>
          <w:bCs/>
          <w:color w:val="auto"/>
          <w:kern w:val="2"/>
          <w:sz w:val="21"/>
          <w:szCs w:val="21"/>
          <w:highlight w:val="none"/>
        </w:rPr>
        <w:t>内）。</w:t>
      </w:r>
      <w:r>
        <w:rPr>
          <w:rFonts w:hint="eastAsia" w:ascii="宋体" w:hAnsi="宋体" w:eastAsia="宋体" w:cs="宋体"/>
          <w:bCs/>
          <w:color w:val="auto"/>
          <w:kern w:val="2"/>
          <w:sz w:val="21"/>
          <w:szCs w:val="21"/>
          <w:highlight w:val="none"/>
          <w:lang w:val="en-US" w:eastAsia="zh-CN"/>
        </w:rPr>
        <w:t>若器械损坏责任在中标人，中标人将承担全部费用支出。报废器械归还采购人。</w:t>
      </w:r>
    </w:p>
    <w:bookmarkEnd w:id="12"/>
    <w:p w14:paraId="5EE5D70B">
      <w:pPr>
        <w:keepNext w:val="0"/>
        <w:keepLines w:val="0"/>
        <w:pageBreakBefore w:val="0"/>
        <w:widowControl w:val="0"/>
        <w:numPr>
          <w:ilvl w:val="0"/>
          <w:numId w:val="0"/>
        </w:numPr>
        <w:kinsoku/>
        <w:wordWrap/>
        <w:overflowPunct/>
        <w:topLinePunct w:val="0"/>
        <w:autoSpaceDE/>
        <w:autoSpaceDN/>
        <w:bidi w:val="0"/>
        <w:adjustRightInd/>
        <w:snapToGrid/>
        <w:spacing w:line="360" w:lineRule="auto"/>
        <w:ind w:left="0" w:leftChars="0" w:firstLine="0" w:firstLineChars="0"/>
        <w:textAlignment w:val="auto"/>
        <w:rPr>
          <w:rFonts w:hint="eastAsia" w:ascii="宋体" w:hAnsi="宋体" w:eastAsia="宋体" w:cs="宋体"/>
          <w:color w:val="auto"/>
          <w:kern w:val="2"/>
          <w:sz w:val="21"/>
          <w:szCs w:val="21"/>
          <w:highlight w:val="none"/>
        </w:rPr>
      </w:pPr>
      <w:r>
        <w:rPr>
          <w:rFonts w:hint="eastAsia" w:ascii="宋体" w:hAnsi="宋体" w:eastAsia="宋体" w:cs="宋体"/>
          <w:b/>
          <w:bCs/>
          <w:color w:val="auto"/>
          <w:kern w:val="2"/>
          <w:sz w:val="21"/>
          <w:szCs w:val="21"/>
          <w:highlight w:val="none"/>
          <w:lang w:eastAsia="zh-CN"/>
        </w:rPr>
        <w:t>（</w:t>
      </w:r>
      <w:r>
        <w:rPr>
          <w:rFonts w:hint="eastAsia" w:hAnsi="宋体" w:cs="宋体"/>
          <w:b/>
          <w:bCs/>
          <w:color w:val="auto"/>
          <w:kern w:val="2"/>
          <w:sz w:val="21"/>
          <w:szCs w:val="21"/>
          <w:highlight w:val="none"/>
          <w:lang w:val="en-US" w:eastAsia="zh-CN"/>
        </w:rPr>
        <w:t>六</w:t>
      </w:r>
      <w:r>
        <w:rPr>
          <w:rFonts w:hint="eastAsia" w:ascii="宋体" w:hAnsi="宋体" w:eastAsia="宋体" w:cs="宋体"/>
          <w:b/>
          <w:bCs/>
          <w:color w:val="auto"/>
          <w:kern w:val="2"/>
          <w:sz w:val="21"/>
          <w:szCs w:val="21"/>
          <w:highlight w:val="none"/>
          <w:lang w:eastAsia="zh-CN"/>
        </w:rPr>
        <w:t>）</w:t>
      </w:r>
      <w:r>
        <w:rPr>
          <w:rFonts w:hint="eastAsia" w:ascii="宋体" w:hAnsi="宋体" w:eastAsia="宋体" w:cs="宋体"/>
          <w:b/>
          <w:bCs/>
          <w:color w:val="auto"/>
          <w:kern w:val="2"/>
          <w:sz w:val="21"/>
          <w:szCs w:val="21"/>
          <w:highlight w:val="none"/>
        </w:rPr>
        <w:t>考核要求：</w:t>
      </w:r>
    </w:p>
    <w:p w14:paraId="5A2D5ACD">
      <w:pPr>
        <w:ind w:firstLine="840" w:firstLineChars="400"/>
        <w:jc w:val="center"/>
        <w:rPr>
          <w:rFonts w:hint="eastAsia" w:ascii="宋体" w:hAnsi="宋体" w:eastAsia="宋体" w:cs="宋体"/>
          <w:bCs/>
          <w:color w:val="auto"/>
          <w:kern w:val="2"/>
          <w:sz w:val="21"/>
          <w:szCs w:val="21"/>
          <w:highlight w:val="none"/>
        </w:rPr>
      </w:pPr>
      <w:r>
        <w:rPr>
          <w:rFonts w:hint="eastAsia" w:ascii="宋体" w:hAnsi="宋体" w:eastAsia="宋体" w:cs="宋体"/>
          <w:bCs/>
          <w:color w:val="auto"/>
          <w:kern w:val="2"/>
          <w:sz w:val="21"/>
          <w:szCs w:val="21"/>
          <w:highlight w:val="none"/>
        </w:rPr>
        <w:t>珠海市</w:t>
      </w:r>
      <w:r>
        <w:rPr>
          <w:rFonts w:hint="eastAsia" w:ascii="宋体" w:hAnsi="宋体" w:eastAsia="宋体" w:cs="宋体"/>
          <w:bCs/>
          <w:color w:val="auto"/>
          <w:kern w:val="2"/>
          <w:sz w:val="21"/>
          <w:szCs w:val="21"/>
          <w:highlight w:val="none"/>
          <w:lang w:val="en-US" w:eastAsia="zh-CN"/>
        </w:rPr>
        <w:t>中西医结合医院</w:t>
      </w:r>
      <w:r>
        <w:rPr>
          <w:rFonts w:hint="eastAsia" w:ascii="宋体" w:hAnsi="宋体" w:eastAsia="宋体" w:cs="宋体"/>
          <w:bCs/>
          <w:color w:val="auto"/>
          <w:kern w:val="2"/>
          <w:sz w:val="21"/>
          <w:szCs w:val="21"/>
          <w:highlight w:val="none"/>
        </w:rPr>
        <w:t>器械清洗消毒服务机构季度及年度考核表</w:t>
      </w:r>
    </w:p>
    <w:tbl>
      <w:tblPr>
        <w:tblStyle w:val="5"/>
        <w:tblW w:w="9054"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03"/>
        <w:gridCol w:w="1827"/>
        <w:gridCol w:w="2770"/>
        <w:gridCol w:w="1020"/>
        <w:gridCol w:w="2066"/>
        <w:gridCol w:w="668"/>
      </w:tblGrid>
      <w:tr w14:paraId="3AE9EDD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16" w:hRule="atLeast"/>
          <w:jc w:val="center"/>
        </w:trPr>
        <w:tc>
          <w:tcPr>
            <w:tcW w:w="703" w:type="dxa"/>
            <w:noWrap w:val="0"/>
            <w:vAlign w:val="center"/>
          </w:tcPr>
          <w:p w14:paraId="5444FBAC">
            <w:pPr>
              <w:keepNext w:val="0"/>
              <w:keepLines w:val="0"/>
              <w:pageBreakBefore w:val="0"/>
              <w:widowControl w:val="0"/>
              <w:tabs>
                <w:tab w:val="left" w:pos="-1440"/>
                <w:tab w:val="left" w:pos="601"/>
              </w:tabs>
              <w:kinsoku/>
              <w:wordWrap/>
              <w:overflowPunct/>
              <w:topLinePunct w:val="0"/>
              <w:autoSpaceDE/>
              <w:autoSpaceDN/>
              <w:bidi w:val="0"/>
              <w:adjustRightInd/>
              <w:snapToGrid/>
              <w:spacing w:line="360" w:lineRule="auto"/>
              <w:jc w:val="center"/>
              <w:textAlignment w:val="auto"/>
              <w:rPr>
                <w:rFonts w:hint="eastAsia" w:ascii="宋体" w:hAnsi="宋体" w:eastAsia="宋体" w:cs="宋体"/>
                <w:b/>
                <w:color w:val="auto"/>
                <w:kern w:val="2"/>
                <w:sz w:val="21"/>
                <w:szCs w:val="21"/>
                <w:highlight w:val="none"/>
              </w:rPr>
            </w:pPr>
            <w:r>
              <w:rPr>
                <w:rFonts w:hint="eastAsia" w:ascii="宋体" w:hAnsi="宋体" w:eastAsia="宋体" w:cs="宋体"/>
                <w:b/>
                <w:color w:val="auto"/>
                <w:kern w:val="2"/>
                <w:sz w:val="21"/>
                <w:szCs w:val="21"/>
                <w:highlight w:val="none"/>
              </w:rPr>
              <w:t>序号</w:t>
            </w:r>
          </w:p>
        </w:tc>
        <w:tc>
          <w:tcPr>
            <w:tcW w:w="1827" w:type="dxa"/>
            <w:noWrap w:val="0"/>
            <w:vAlign w:val="center"/>
          </w:tcPr>
          <w:p w14:paraId="353C65DF">
            <w:pPr>
              <w:keepNext w:val="0"/>
              <w:keepLines w:val="0"/>
              <w:pageBreakBefore w:val="0"/>
              <w:widowControl w:val="0"/>
              <w:tabs>
                <w:tab w:val="left" w:pos="-1440"/>
                <w:tab w:val="left" w:pos="601"/>
              </w:tabs>
              <w:kinsoku/>
              <w:wordWrap/>
              <w:overflowPunct/>
              <w:topLinePunct w:val="0"/>
              <w:autoSpaceDE/>
              <w:autoSpaceDN/>
              <w:bidi w:val="0"/>
              <w:adjustRightInd/>
              <w:snapToGrid/>
              <w:spacing w:line="360" w:lineRule="auto"/>
              <w:jc w:val="center"/>
              <w:textAlignment w:val="auto"/>
              <w:rPr>
                <w:rFonts w:hint="eastAsia" w:ascii="宋体" w:hAnsi="宋体" w:eastAsia="宋体" w:cs="宋体"/>
                <w:b/>
                <w:color w:val="auto"/>
                <w:kern w:val="2"/>
                <w:sz w:val="21"/>
                <w:szCs w:val="21"/>
                <w:highlight w:val="none"/>
              </w:rPr>
            </w:pPr>
            <w:r>
              <w:rPr>
                <w:rFonts w:hint="eastAsia" w:ascii="宋体" w:hAnsi="宋体" w:eastAsia="宋体" w:cs="宋体"/>
                <w:b/>
                <w:color w:val="auto"/>
                <w:kern w:val="2"/>
                <w:sz w:val="21"/>
                <w:szCs w:val="21"/>
                <w:highlight w:val="none"/>
              </w:rPr>
              <w:t>考核项目</w:t>
            </w:r>
          </w:p>
        </w:tc>
        <w:tc>
          <w:tcPr>
            <w:tcW w:w="2770" w:type="dxa"/>
            <w:noWrap w:val="0"/>
            <w:vAlign w:val="center"/>
          </w:tcPr>
          <w:p w14:paraId="0345C580">
            <w:pPr>
              <w:keepNext w:val="0"/>
              <w:keepLines w:val="0"/>
              <w:pageBreakBefore w:val="0"/>
              <w:widowControl w:val="0"/>
              <w:tabs>
                <w:tab w:val="left" w:pos="-1440"/>
                <w:tab w:val="left" w:pos="601"/>
              </w:tabs>
              <w:kinsoku/>
              <w:wordWrap/>
              <w:overflowPunct/>
              <w:topLinePunct w:val="0"/>
              <w:autoSpaceDE/>
              <w:autoSpaceDN/>
              <w:bidi w:val="0"/>
              <w:adjustRightInd/>
              <w:snapToGrid/>
              <w:spacing w:line="360" w:lineRule="auto"/>
              <w:jc w:val="center"/>
              <w:textAlignment w:val="auto"/>
              <w:rPr>
                <w:rFonts w:hint="eastAsia" w:ascii="宋体" w:hAnsi="宋体" w:eastAsia="宋体" w:cs="宋体"/>
                <w:b/>
                <w:color w:val="auto"/>
                <w:kern w:val="2"/>
                <w:sz w:val="21"/>
                <w:szCs w:val="21"/>
                <w:highlight w:val="none"/>
              </w:rPr>
            </w:pPr>
            <w:r>
              <w:rPr>
                <w:rFonts w:hint="eastAsia" w:ascii="宋体" w:hAnsi="宋体" w:eastAsia="宋体" w:cs="宋体"/>
                <w:b/>
                <w:color w:val="auto"/>
                <w:kern w:val="2"/>
                <w:sz w:val="21"/>
                <w:szCs w:val="21"/>
                <w:highlight w:val="none"/>
              </w:rPr>
              <w:t>标准内容</w:t>
            </w:r>
          </w:p>
        </w:tc>
        <w:tc>
          <w:tcPr>
            <w:tcW w:w="1020" w:type="dxa"/>
            <w:noWrap w:val="0"/>
            <w:vAlign w:val="center"/>
          </w:tcPr>
          <w:p w14:paraId="5F60033D">
            <w:pPr>
              <w:keepNext w:val="0"/>
              <w:keepLines w:val="0"/>
              <w:pageBreakBefore w:val="0"/>
              <w:widowControl w:val="0"/>
              <w:tabs>
                <w:tab w:val="left" w:pos="-1440"/>
                <w:tab w:val="left" w:pos="601"/>
              </w:tabs>
              <w:kinsoku/>
              <w:wordWrap/>
              <w:overflowPunct/>
              <w:topLinePunct w:val="0"/>
              <w:autoSpaceDE/>
              <w:autoSpaceDN/>
              <w:bidi w:val="0"/>
              <w:adjustRightInd/>
              <w:snapToGrid/>
              <w:spacing w:line="360" w:lineRule="auto"/>
              <w:jc w:val="center"/>
              <w:textAlignment w:val="auto"/>
              <w:rPr>
                <w:rFonts w:hint="eastAsia" w:ascii="宋体" w:hAnsi="宋体" w:eastAsia="宋体" w:cs="宋体"/>
                <w:b/>
                <w:color w:val="auto"/>
                <w:kern w:val="2"/>
                <w:sz w:val="21"/>
                <w:szCs w:val="21"/>
                <w:highlight w:val="none"/>
              </w:rPr>
            </w:pPr>
            <w:r>
              <w:rPr>
                <w:rFonts w:hint="eastAsia" w:ascii="宋体" w:hAnsi="宋体" w:eastAsia="宋体" w:cs="宋体"/>
                <w:b/>
                <w:color w:val="auto"/>
                <w:kern w:val="2"/>
                <w:sz w:val="21"/>
                <w:szCs w:val="21"/>
                <w:highlight w:val="none"/>
              </w:rPr>
              <w:t>分值</w:t>
            </w:r>
          </w:p>
        </w:tc>
        <w:tc>
          <w:tcPr>
            <w:tcW w:w="2066" w:type="dxa"/>
            <w:noWrap w:val="0"/>
            <w:vAlign w:val="center"/>
          </w:tcPr>
          <w:p w14:paraId="78284469">
            <w:pPr>
              <w:keepNext w:val="0"/>
              <w:keepLines w:val="0"/>
              <w:pageBreakBefore w:val="0"/>
              <w:widowControl w:val="0"/>
              <w:tabs>
                <w:tab w:val="left" w:pos="-1440"/>
                <w:tab w:val="left" w:pos="601"/>
              </w:tabs>
              <w:kinsoku/>
              <w:wordWrap/>
              <w:overflowPunct/>
              <w:topLinePunct w:val="0"/>
              <w:autoSpaceDE/>
              <w:autoSpaceDN/>
              <w:bidi w:val="0"/>
              <w:adjustRightInd/>
              <w:snapToGrid/>
              <w:spacing w:line="360" w:lineRule="auto"/>
              <w:jc w:val="center"/>
              <w:textAlignment w:val="auto"/>
              <w:rPr>
                <w:rFonts w:hint="eastAsia" w:ascii="宋体" w:hAnsi="宋体" w:eastAsia="宋体" w:cs="宋体"/>
                <w:b/>
                <w:color w:val="auto"/>
                <w:kern w:val="2"/>
                <w:sz w:val="21"/>
                <w:szCs w:val="21"/>
                <w:highlight w:val="none"/>
              </w:rPr>
            </w:pPr>
            <w:r>
              <w:rPr>
                <w:rFonts w:hint="eastAsia" w:ascii="宋体" w:hAnsi="宋体" w:eastAsia="宋体" w:cs="宋体"/>
                <w:b/>
                <w:color w:val="auto"/>
                <w:kern w:val="2"/>
                <w:sz w:val="21"/>
                <w:szCs w:val="21"/>
                <w:highlight w:val="none"/>
              </w:rPr>
              <w:t>评分细则</w:t>
            </w:r>
          </w:p>
        </w:tc>
        <w:tc>
          <w:tcPr>
            <w:tcW w:w="668" w:type="dxa"/>
            <w:noWrap w:val="0"/>
            <w:vAlign w:val="center"/>
          </w:tcPr>
          <w:p w14:paraId="526CA300">
            <w:pPr>
              <w:keepNext w:val="0"/>
              <w:keepLines w:val="0"/>
              <w:pageBreakBefore w:val="0"/>
              <w:widowControl w:val="0"/>
              <w:tabs>
                <w:tab w:val="left" w:pos="-1440"/>
                <w:tab w:val="left" w:pos="601"/>
              </w:tabs>
              <w:kinsoku/>
              <w:wordWrap/>
              <w:overflowPunct/>
              <w:topLinePunct w:val="0"/>
              <w:autoSpaceDE/>
              <w:autoSpaceDN/>
              <w:bidi w:val="0"/>
              <w:adjustRightInd/>
              <w:snapToGrid/>
              <w:spacing w:line="360" w:lineRule="auto"/>
              <w:jc w:val="center"/>
              <w:textAlignment w:val="auto"/>
              <w:rPr>
                <w:rFonts w:hint="eastAsia" w:ascii="宋体" w:hAnsi="宋体" w:eastAsia="宋体" w:cs="宋体"/>
                <w:b/>
                <w:color w:val="auto"/>
                <w:kern w:val="2"/>
                <w:sz w:val="21"/>
                <w:szCs w:val="21"/>
                <w:highlight w:val="none"/>
              </w:rPr>
            </w:pPr>
            <w:r>
              <w:rPr>
                <w:rFonts w:hint="eastAsia" w:ascii="宋体" w:hAnsi="宋体" w:eastAsia="宋体" w:cs="宋体"/>
                <w:b/>
                <w:color w:val="auto"/>
                <w:kern w:val="2"/>
                <w:sz w:val="21"/>
                <w:szCs w:val="21"/>
                <w:highlight w:val="none"/>
              </w:rPr>
              <w:t>得分</w:t>
            </w:r>
          </w:p>
        </w:tc>
      </w:tr>
      <w:tr w14:paraId="0134821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03" w:type="dxa"/>
            <w:noWrap w:val="0"/>
            <w:vAlign w:val="center"/>
          </w:tcPr>
          <w:p w14:paraId="6F9778ED">
            <w:pPr>
              <w:keepNext w:val="0"/>
              <w:keepLines w:val="0"/>
              <w:pageBreakBefore w:val="0"/>
              <w:widowControl w:val="0"/>
              <w:tabs>
                <w:tab w:val="left" w:pos="-1440"/>
                <w:tab w:val="left" w:pos="601"/>
              </w:tabs>
              <w:kinsoku/>
              <w:wordWrap/>
              <w:overflowPunct/>
              <w:topLinePunct w:val="0"/>
              <w:autoSpaceDE/>
              <w:autoSpaceDN/>
              <w:bidi w:val="0"/>
              <w:adjustRightInd/>
              <w:snapToGrid/>
              <w:spacing w:line="360" w:lineRule="auto"/>
              <w:jc w:val="center"/>
              <w:textAlignment w:val="auto"/>
              <w:rPr>
                <w:rFonts w:hint="eastAsia" w:ascii="宋体" w:hAnsi="宋体" w:eastAsia="宋体" w:cs="宋体"/>
                <w:color w:val="auto"/>
                <w:kern w:val="2"/>
                <w:sz w:val="21"/>
                <w:szCs w:val="21"/>
                <w:highlight w:val="none"/>
              </w:rPr>
            </w:pPr>
            <w:r>
              <w:rPr>
                <w:rFonts w:hint="eastAsia" w:ascii="宋体" w:hAnsi="宋体" w:eastAsia="宋体" w:cs="宋体"/>
                <w:color w:val="auto"/>
                <w:kern w:val="2"/>
                <w:sz w:val="21"/>
                <w:szCs w:val="21"/>
                <w:highlight w:val="none"/>
              </w:rPr>
              <w:t>1</w:t>
            </w:r>
          </w:p>
        </w:tc>
        <w:tc>
          <w:tcPr>
            <w:tcW w:w="1827" w:type="dxa"/>
            <w:noWrap w:val="0"/>
            <w:vAlign w:val="center"/>
          </w:tcPr>
          <w:p w14:paraId="4195D21D">
            <w:pPr>
              <w:keepNext w:val="0"/>
              <w:keepLines w:val="0"/>
              <w:pageBreakBefore w:val="0"/>
              <w:widowControl w:val="0"/>
              <w:tabs>
                <w:tab w:val="left" w:pos="-1440"/>
                <w:tab w:val="left" w:pos="601"/>
              </w:tabs>
              <w:kinsoku/>
              <w:wordWrap/>
              <w:overflowPunct/>
              <w:topLinePunct w:val="0"/>
              <w:autoSpaceDE/>
              <w:autoSpaceDN/>
              <w:bidi w:val="0"/>
              <w:adjustRightInd/>
              <w:snapToGrid/>
              <w:spacing w:line="360" w:lineRule="auto"/>
              <w:jc w:val="center"/>
              <w:textAlignment w:val="auto"/>
              <w:rPr>
                <w:rFonts w:hint="eastAsia" w:ascii="宋体" w:hAnsi="宋体" w:eastAsia="宋体" w:cs="宋体"/>
                <w:color w:val="auto"/>
                <w:kern w:val="2"/>
                <w:sz w:val="21"/>
                <w:szCs w:val="21"/>
                <w:highlight w:val="none"/>
              </w:rPr>
            </w:pPr>
            <w:r>
              <w:rPr>
                <w:rFonts w:hint="eastAsia" w:ascii="宋体" w:hAnsi="宋体" w:eastAsia="宋体" w:cs="宋体"/>
                <w:color w:val="auto"/>
                <w:kern w:val="2"/>
                <w:sz w:val="21"/>
                <w:szCs w:val="21"/>
                <w:highlight w:val="none"/>
              </w:rPr>
              <w:t>管理制度情况</w:t>
            </w:r>
          </w:p>
        </w:tc>
        <w:tc>
          <w:tcPr>
            <w:tcW w:w="2770" w:type="dxa"/>
            <w:noWrap w:val="0"/>
            <w:vAlign w:val="center"/>
          </w:tcPr>
          <w:p w14:paraId="0FAA548D">
            <w:pPr>
              <w:keepNext w:val="0"/>
              <w:keepLines w:val="0"/>
              <w:pageBreakBefore w:val="0"/>
              <w:widowControl w:val="0"/>
              <w:tabs>
                <w:tab w:val="left" w:pos="-1440"/>
                <w:tab w:val="left" w:pos="601"/>
              </w:tabs>
              <w:kinsoku/>
              <w:wordWrap/>
              <w:overflowPunct/>
              <w:topLinePunct w:val="0"/>
              <w:autoSpaceDE/>
              <w:autoSpaceDN/>
              <w:bidi w:val="0"/>
              <w:adjustRightInd/>
              <w:snapToGrid/>
              <w:spacing w:line="360" w:lineRule="auto"/>
              <w:textAlignment w:val="auto"/>
              <w:rPr>
                <w:rFonts w:hint="eastAsia" w:ascii="宋体" w:hAnsi="宋体" w:eastAsia="宋体" w:cs="宋体"/>
                <w:color w:val="auto"/>
                <w:kern w:val="2"/>
                <w:sz w:val="21"/>
                <w:szCs w:val="21"/>
                <w:highlight w:val="none"/>
              </w:rPr>
            </w:pPr>
            <w:r>
              <w:rPr>
                <w:rFonts w:hint="eastAsia" w:ascii="宋体" w:hAnsi="宋体" w:eastAsia="宋体" w:cs="宋体"/>
                <w:color w:val="auto"/>
                <w:kern w:val="2"/>
                <w:sz w:val="21"/>
                <w:szCs w:val="21"/>
                <w:highlight w:val="none"/>
                <w:lang w:eastAsia="zh-CN"/>
              </w:rPr>
              <w:t>应当依据ISO9001，YY/T0287-2017《医疗器械质量管理体系用于法规的要求》等建立并实时医疗消毒供应中心质量管理体系</w:t>
            </w:r>
          </w:p>
        </w:tc>
        <w:tc>
          <w:tcPr>
            <w:tcW w:w="1020" w:type="dxa"/>
            <w:noWrap w:val="0"/>
            <w:vAlign w:val="center"/>
          </w:tcPr>
          <w:p w14:paraId="23D3D31C">
            <w:pPr>
              <w:keepNext w:val="0"/>
              <w:keepLines w:val="0"/>
              <w:pageBreakBefore w:val="0"/>
              <w:widowControl w:val="0"/>
              <w:tabs>
                <w:tab w:val="left" w:pos="-1440"/>
                <w:tab w:val="left" w:pos="601"/>
              </w:tabs>
              <w:kinsoku/>
              <w:wordWrap/>
              <w:overflowPunct/>
              <w:topLinePunct w:val="0"/>
              <w:autoSpaceDE/>
              <w:autoSpaceDN/>
              <w:bidi w:val="0"/>
              <w:adjustRightInd/>
              <w:snapToGrid/>
              <w:spacing w:line="360" w:lineRule="auto"/>
              <w:jc w:val="center"/>
              <w:textAlignment w:val="auto"/>
              <w:rPr>
                <w:rFonts w:hint="eastAsia" w:ascii="宋体" w:hAnsi="宋体" w:eastAsia="宋体" w:cs="宋体"/>
                <w:color w:val="auto"/>
                <w:kern w:val="2"/>
                <w:sz w:val="21"/>
                <w:szCs w:val="21"/>
                <w:highlight w:val="none"/>
                <w:lang w:val="en-US" w:eastAsia="zh-CN"/>
              </w:rPr>
            </w:pPr>
            <w:r>
              <w:rPr>
                <w:rFonts w:hint="eastAsia" w:ascii="宋体" w:hAnsi="宋体" w:eastAsia="宋体" w:cs="宋体"/>
                <w:color w:val="auto"/>
                <w:kern w:val="2"/>
                <w:sz w:val="21"/>
                <w:szCs w:val="21"/>
                <w:highlight w:val="none"/>
              </w:rPr>
              <w:t>5</w:t>
            </w:r>
            <w:r>
              <w:rPr>
                <w:rFonts w:hint="eastAsia" w:ascii="宋体" w:hAnsi="宋体" w:eastAsia="宋体" w:cs="宋体"/>
                <w:color w:val="auto"/>
                <w:kern w:val="2"/>
                <w:sz w:val="21"/>
                <w:szCs w:val="21"/>
                <w:highlight w:val="none"/>
                <w:lang w:val="en-US" w:eastAsia="zh-CN"/>
              </w:rPr>
              <w:t>分</w:t>
            </w:r>
          </w:p>
        </w:tc>
        <w:tc>
          <w:tcPr>
            <w:tcW w:w="2066" w:type="dxa"/>
            <w:noWrap w:val="0"/>
            <w:vAlign w:val="center"/>
          </w:tcPr>
          <w:p w14:paraId="629299D6">
            <w:pPr>
              <w:keepNext w:val="0"/>
              <w:keepLines w:val="0"/>
              <w:pageBreakBefore w:val="0"/>
              <w:widowControl w:val="0"/>
              <w:tabs>
                <w:tab w:val="left" w:pos="-1440"/>
                <w:tab w:val="left" w:pos="601"/>
              </w:tabs>
              <w:kinsoku/>
              <w:wordWrap/>
              <w:overflowPunct/>
              <w:topLinePunct w:val="0"/>
              <w:autoSpaceDE/>
              <w:autoSpaceDN/>
              <w:bidi w:val="0"/>
              <w:adjustRightInd/>
              <w:snapToGrid/>
              <w:spacing w:line="360" w:lineRule="auto"/>
              <w:textAlignment w:val="auto"/>
              <w:rPr>
                <w:rFonts w:hint="eastAsia" w:ascii="宋体" w:hAnsi="宋体" w:eastAsia="宋体" w:cs="宋体"/>
                <w:color w:val="auto"/>
                <w:kern w:val="2"/>
                <w:sz w:val="21"/>
                <w:szCs w:val="21"/>
                <w:highlight w:val="none"/>
              </w:rPr>
            </w:pPr>
            <w:r>
              <w:rPr>
                <w:rFonts w:hint="eastAsia" w:ascii="宋体" w:hAnsi="宋体" w:eastAsia="宋体" w:cs="宋体"/>
                <w:color w:val="auto"/>
                <w:kern w:val="2"/>
                <w:sz w:val="21"/>
                <w:szCs w:val="21"/>
                <w:highlight w:val="none"/>
                <w:lang w:eastAsia="zh-CN"/>
              </w:rPr>
              <w:t>每发现一处不规范扣1分。</w:t>
            </w:r>
          </w:p>
        </w:tc>
        <w:tc>
          <w:tcPr>
            <w:tcW w:w="668" w:type="dxa"/>
            <w:noWrap w:val="0"/>
            <w:vAlign w:val="center"/>
          </w:tcPr>
          <w:p w14:paraId="6168B86E">
            <w:pPr>
              <w:keepNext w:val="0"/>
              <w:keepLines w:val="0"/>
              <w:pageBreakBefore w:val="0"/>
              <w:widowControl w:val="0"/>
              <w:tabs>
                <w:tab w:val="left" w:pos="-1440"/>
                <w:tab w:val="left" w:pos="601"/>
              </w:tabs>
              <w:kinsoku/>
              <w:wordWrap/>
              <w:overflowPunct/>
              <w:topLinePunct w:val="0"/>
              <w:autoSpaceDE/>
              <w:autoSpaceDN/>
              <w:bidi w:val="0"/>
              <w:adjustRightInd/>
              <w:snapToGrid/>
              <w:spacing w:line="360" w:lineRule="auto"/>
              <w:textAlignment w:val="auto"/>
              <w:rPr>
                <w:rFonts w:hint="eastAsia" w:ascii="宋体" w:hAnsi="宋体" w:eastAsia="宋体" w:cs="宋体"/>
                <w:color w:val="auto"/>
                <w:kern w:val="2"/>
                <w:sz w:val="21"/>
                <w:szCs w:val="21"/>
                <w:highlight w:val="none"/>
              </w:rPr>
            </w:pPr>
          </w:p>
        </w:tc>
      </w:tr>
      <w:tr w14:paraId="5ADA3E3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03" w:type="dxa"/>
            <w:noWrap w:val="0"/>
            <w:vAlign w:val="center"/>
          </w:tcPr>
          <w:p w14:paraId="1631D750">
            <w:pPr>
              <w:keepNext w:val="0"/>
              <w:keepLines w:val="0"/>
              <w:pageBreakBefore w:val="0"/>
              <w:widowControl w:val="0"/>
              <w:tabs>
                <w:tab w:val="left" w:pos="-1440"/>
                <w:tab w:val="left" w:pos="601"/>
              </w:tabs>
              <w:kinsoku/>
              <w:wordWrap/>
              <w:overflowPunct/>
              <w:topLinePunct w:val="0"/>
              <w:autoSpaceDE/>
              <w:autoSpaceDN/>
              <w:bidi w:val="0"/>
              <w:adjustRightInd/>
              <w:snapToGrid/>
              <w:spacing w:line="360" w:lineRule="auto"/>
              <w:jc w:val="center"/>
              <w:textAlignment w:val="auto"/>
              <w:rPr>
                <w:rFonts w:hint="eastAsia" w:ascii="宋体" w:hAnsi="宋体" w:eastAsia="宋体" w:cs="宋体"/>
                <w:color w:val="auto"/>
                <w:kern w:val="2"/>
                <w:sz w:val="21"/>
                <w:szCs w:val="21"/>
                <w:highlight w:val="none"/>
              </w:rPr>
            </w:pPr>
            <w:r>
              <w:rPr>
                <w:rFonts w:hint="eastAsia" w:ascii="宋体" w:hAnsi="宋体" w:eastAsia="宋体" w:cs="宋体"/>
                <w:color w:val="auto"/>
                <w:kern w:val="2"/>
                <w:sz w:val="21"/>
                <w:szCs w:val="21"/>
                <w:highlight w:val="none"/>
              </w:rPr>
              <w:t>2</w:t>
            </w:r>
          </w:p>
        </w:tc>
        <w:tc>
          <w:tcPr>
            <w:tcW w:w="1827" w:type="dxa"/>
            <w:noWrap w:val="0"/>
            <w:vAlign w:val="center"/>
          </w:tcPr>
          <w:p w14:paraId="50D175B3">
            <w:pPr>
              <w:keepNext w:val="0"/>
              <w:keepLines w:val="0"/>
              <w:pageBreakBefore w:val="0"/>
              <w:widowControl w:val="0"/>
              <w:tabs>
                <w:tab w:val="left" w:pos="-1440"/>
                <w:tab w:val="left" w:pos="601"/>
              </w:tabs>
              <w:kinsoku/>
              <w:wordWrap/>
              <w:overflowPunct/>
              <w:topLinePunct w:val="0"/>
              <w:autoSpaceDE/>
              <w:autoSpaceDN/>
              <w:bidi w:val="0"/>
              <w:adjustRightInd/>
              <w:snapToGrid/>
              <w:spacing w:line="360" w:lineRule="auto"/>
              <w:jc w:val="center"/>
              <w:textAlignment w:val="auto"/>
              <w:rPr>
                <w:rFonts w:hint="eastAsia" w:ascii="宋体" w:hAnsi="宋体" w:eastAsia="宋体" w:cs="宋体"/>
                <w:color w:val="auto"/>
                <w:kern w:val="2"/>
                <w:sz w:val="21"/>
                <w:szCs w:val="21"/>
                <w:highlight w:val="none"/>
                <w:lang w:eastAsia="zh-CN"/>
              </w:rPr>
            </w:pPr>
            <w:r>
              <w:rPr>
                <w:rFonts w:hint="eastAsia" w:ascii="宋体" w:hAnsi="宋体" w:eastAsia="宋体" w:cs="宋体"/>
                <w:color w:val="auto"/>
                <w:kern w:val="2"/>
                <w:sz w:val="21"/>
                <w:szCs w:val="21"/>
                <w:highlight w:val="none"/>
                <w:lang w:eastAsia="zh-CN"/>
              </w:rPr>
              <w:t>人员配置、</w:t>
            </w:r>
          </w:p>
          <w:p w14:paraId="2634BE1B">
            <w:pPr>
              <w:keepNext w:val="0"/>
              <w:keepLines w:val="0"/>
              <w:pageBreakBefore w:val="0"/>
              <w:widowControl w:val="0"/>
              <w:tabs>
                <w:tab w:val="left" w:pos="-1440"/>
                <w:tab w:val="left" w:pos="601"/>
              </w:tabs>
              <w:kinsoku/>
              <w:wordWrap/>
              <w:overflowPunct/>
              <w:topLinePunct w:val="0"/>
              <w:autoSpaceDE/>
              <w:autoSpaceDN/>
              <w:bidi w:val="0"/>
              <w:adjustRightInd/>
              <w:snapToGrid/>
              <w:spacing w:line="360" w:lineRule="auto"/>
              <w:jc w:val="center"/>
              <w:textAlignment w:val="auto"/>
              <w:rPr>
                <w:rFonts w:hint="eastAsia" w:ascii="宋体" w:hAnsi="宋体" w:eastAsia="宋体" w:cs="宋体"/>
                <w:color w:val="auto"/>
                <w:kern w:val="2"/>
                <w:sz w:val="21"/>
                <w:szCs w:val="21"/>
                <w:highlight w:val="none"/>
              </w:rPr>
            </w:pPr>
            <w:r>
              <w:rPr>
                <w:rFonts w:hint="eastAsia" w:ascii="宋体" w:hAnsi="宋体" w:eastAsia="宋体" w:cs="宋体"/>
                <w:color w:val="auto"/>
                <w:kern w:val="2"/>
                <w:sz w:val="21"/>
                <w:szCs w:val="21"/>
                <w:highlight w:val="none"/>
                <w:lang w:eastAsia="zh-CN"/>
              </w:rPr>
              <w:t>培训考核制度及实施</w:t>
            </w:r>
          </w:p>
        </w:tc>
        <w:tc>
          <w:tcPr>
            <w:tcW w:w="2770" w:type="dxa"/>
            <w:noWrap w:val="0"/>
            <w:vAlign w:val="center"/>
          </w:tcPr>
          <w:p w14:paraId="2CFCE61B">
            <w:pPr>
              <w:keepNext w:val="0"/>
              <w:keepLines w:val="0"/>
              <w:pageBreakBefore w:val="0"/>
              <w:widowControl w:val="0"/>
              <w:tabs>
                <w:tab w:val="left" w:pos="-1440"/>
                <w:tab w:val="left" w:pos="601"/>
              </w:tabs>
              <w:kinsoku/>
              <w:wordWrap/>
              <w:overflowPunct/>
              <w:topLinePunct w:val="0"/>
              <w:autoSpaceDE/>
              <w:autoSpaceDN/>
              <w:bidi w:val="0"/>
              <w:adjustRightInd/>
              <w:snapToGrid/>
              <w:spacing w:line="360" w:lineRule="auto"/>
              <w:textAlignment w:val="auto"/>
              <w:rPr>
                <w:rFonts w:hint="eastAsia" w:ascii="宋体" w:hAnsi="宋体" w:eastAsia="宋体" w:cs="宋体"/>
                <w:color w:val="auto"/>
                <w:kern w:val="2"/>
                <w:sz w:val="21"/>
                <w:szCs w:val="21"/>
                <w:highlight w:val="none"/>
                <w:lang w:eastAsia="zh-Hans"/>
              </w:rPr>
            </w:pPr>
            <w:r>
              <w:rPr>
                <w:rFonts w:hint="eastAsia" w:ascii="宋体" w:hAnsi="宋体" w:eastAsia="宋体" w:cs="宋体"/>
                <w:color w:val="auto"/>
                <w:kern w:val="2"/>
                <w:sz w:val="21"/>
                <w:szCs w:val="21"/>
                <w:highlight w:val="none"/>
                <w:lang w:eastAsia="zh-CN"/>
              </w:rPr>
              <w:t>1．是否按照《医疗消毒供应中心基本标准（试行）》的规定设置相应的专业及持证上岗人员</w:t>
            </w:r>
            <w:r>
              <w:rPr>
                <w:rFonts w:hint="eastAsia" w:ascii="宋体" w:hAnsi="宋体" w:eastAsia="宋体" w:cs="宋体"/>
                <w:color w:val="auto"/>
                <w:kern w:val="2"/>
                <w:sz w:val="21"/>
                <w:szCs w:val="21"/>
                <w:highlight w:val="none"/>
                <w:lang w:eastAsia="zh-Hans"/>
              </w:rPr>
              <w:t>。</w:t>
            </w:r>
          </w:p>
          <w:p w14:paraId="40063190">
            <w:pPr>
              <w:keepNext w:val="0"/>
              <w:keepLines w:val="0"/>
              <w:pageBreakBefore w:val="0"/>
              <w:widowControl w:val="0"/>
              <w:tabs>
                <w:tab w:val="left" w:pos="-1440"/>
                <w:tab w:val="left" w:pos="601"/>
              </w:tabs>
              <w:kinsoku/>
              <w:wordWrap/>
              <w:overflowPunct/>
              <w:topLinePunct w:val="0"/>
              <w:autoSpaceDE/>
              <w:autoSpaceDN/>
              <w:bidi w:val="0"/>
              <w:adjustRightInd/>
              <w:snapToGrid/>
              <w:spacing w:before="25" w:after="25" w:line="360" w:lineRule="auto"/>
              <w:jc w:val="left"/>
              <w:textAlignment w:val="auto"/>
              <w:rPr>
                <w:rFonts w:hint="eastAsia" w:ascii="宋体" w:hAnsi="宋体" w:eastAsia="宋体" w:cs="宋体"/>
                <w:bCs/>
                <w:color w:val="auto"/>
                <w:spacing w:val="10"/>
                <w:kern w:val="0"/>
                <w:sz w:val="21"/>
                <w:szCs w:val="21"/>
                <w:highlight w:val="none"/>
                <w:lang w:val="en-US" w:eastAsia="zh-CN" w:bidi="ar-SA"/>
              </w:rPr>
            </w:pPr>
            <w:r>
              <w:rPr>
                <w:rFonts w:hint="eastAsia" w:ascii="宋体" w:hAnsi="宋体" w:eastAsia="宋体" w:cs="宋体"/>
                <w:bCs w:val="0"/>
                <w:color w:val="auto"/>
                <w:spacing w:val="0"/>
                <w:kern w:val="2"/>
                <w:sz w:val="21"/>
                <w:szCs w:val="21"/>
                <w:highlight w:val="none"/>
                <w:lang w:val="en-US" w:eastAsia="zh-CN" w:bidi="ar-SA"/>
              </w:rPr>
              <w:t>2．应建立有完善的人员培训考核制度</w:t>
            </w:r>
            <w:r>
              <w:rPr>
                <w:rFonts w:hint="eastAsia" w:ascii="宋体" w:hAnsi="宋体" w:eastAsia="宋体" w:cs="宋体"/>
                <w:bCs w:val="0"/>
                <w:color w:val="auto"/>
                <w:spacing w:val="0"/>
                <w:kern w:val="2"/>
                <w:sz w:val="21"/>
                <w:szCs w:val="21"/>
                <w:highlight w:val="none"/>
                <w:lang w:val="en-US" w:eastAsia="zh-Hans" w:bidi="ar-SA"/>
              </w:rPr>
              <w:t>。</w:t>
            </w:r>
          </w:p>
        </w:tc>
        <w:tc>
          <w:tcPr>
            <w:tcW w:w="1020" w:type="dxa"/>
            <w:noWrap w:val="0"/>
            <w:vAlign w:val="center"/>
          </w:tcPr>
          <w:p w14:paraId="335CF8C7">
            <w:pPr>
              <w:keepNext w:val="0"/>
              <w:keepLines w:val="0"/>
              <w:pageBreakBefore w:val="0"/>
              <w:widowControl w:val="0"/>
              <w:tabs>
                <w:tab w:val="left" w:pos="-1440"/>
                <w:tab w:val="left" w:pos="601"/>
              </w:tabs>
              <w:kinsoku/>
              <w:wordWrap/>
              <w:overflowPunct/>
              <w:topLinePunct w:val="0"/>
              <w:autoSpaceDE/>
              <w:autoSpaceDN/>
              <w:bidi w:val="0"/>
              <w:adjustRightInd/>
              <w:snapToGrid/>
              <w:spacing w:line="360" w:lineRule="auto"/>
              <w:jc w:val="center"/>
              <w:textAlignment w:val="auto"/>
              <w:rPr>
                <w:rFonts w:hint="eastAsia" w:ascii="宋体" w:hAnsi="宋体" w:eastAsia="宋体" w:cs="宋体"/>
                <w:color w:val="auto"/>
                <w:kern w:val="2"/>
                <w:sz w:val="21"/>
                <w:szCs w:val="21"/>
                <w:highlight w:val="none"/>
                <w:lang w:val="en-US" w:eastAsia="zh-CN"/>
              </w:rPr>
            </w:pPr>
            <w:r>
              <w:rPr>
                <w:rFonts w:hint="eastAsia" w:ascii="宋体" w:hAnsi="宋体" w:eastAsia="宋体" w:cs="宋体"/>
                <w:color w:val="auto"/>
                <w:kern w:val="2"/>
                <w:sz w:val="21"/>
                <w:szCs w:val="21"/>
                <w:highlight w:val="none"/>
              </w:rPr>
              <w:t>5</w:t>
            </w:r>
            <w:r>
              <w:rPr>
                <w:rFonts w:hint="eastAsia" w:ascii="宋体" w:hAnsi="宋体" w:eastAsia="宋体" w:cs="宋体"/>
                <w:color w:val="auto"/>
                <w:kern w:val="2"/>
                <w:sz w:val="21"/>
                <w:szCs w:val="21"/>
                <w:highlight w:val="none"/>
                <w:lang w:val="en-US" w:eastAsia="zh-CN"/>
              </w:rPr>
              <w:t>分</w:t>
            </w:r>
          </w:p>
        </w:tc>
        <w:tc>
          <w:tcPr>
            <w:tcW w:w="2066" w:type="dxa"/>
            <w:noWrap w:val="0"/>
            <w:vAlign w:val="center"/>
          </w:tcPr>
          <w:p w14:paraId="5231CCF7">
            <w:pPr>
              <w:keepNext w:val="0"/>
              <w:keepLines w:val="0"/>
              <w:pageBreakBefore w:val="0"/>
              <w:widowControl w:val="0"/>
              <w:tabs>
                <w:tab w:val="left" w:pos="-1440"/>
                <w:tab w:val="left" w:pos="601"/>
              </w:tabs>
              <w:kinsoku/>
              <w:wordWrap/>
              <w:overflowPunct/>
              <w:topLinePunct w:val="0"/>
              <w:autoSpaceDE/>
              <w:autoSpaceDN/>
              <w:bidi w:val="0"/>
              <w:adjustRightInd/>
              <w:snapToGrid/>
              <w:spacing w:line="360" w:lineRule="auto"/>
              <w:textAlignment w:val="auto"/>
              <w:rPr>
                <w:rFonts w:hint="eastAsia" w:ascii="宋体" w:hAnsi="宋体" w:eastAsia="宋体" w:cs="宋体"/>
                <w:bCs/>
                <w:color w:val="auto"/>
                <w:kern w:val="2"/>
                <w:sz w:val="21"/>
                <w:szCs w:val="21"/>
                <w:highlight w:val="none"/>
                <w:lang w:eastAsia="zh-CN"/>
              </w:rPr>
            </w:pPr>
          </w:p>
          <w:p w14:paraId="0C49C648">
            <w:pPr>
              <w:keepNext w:val="0"/>
              <w:keepLines w:val="0"/>
              <w:pageBreakBefore w:val="0"/>
              <w:widowControl w:val="0"/>
              <w:tabs>
                <w:tab w:val="left" w:pos="-1440"/>
                <w:tab w:val="left" w:pos="601"/>
              </w:tabs>
              <w:kinsoku/>
              <w:wordWrap/>
              <w:overflowPunct/>
              <w:topLinePunct w:val="0"/>
              <w:autoSpaceDE/>
              <w:autoSpaceDN/>
              <w:bidi w:val="0"/>
              <w:adjustRightInd/>
              <w:snapToGrid/>
              <w:spacing w:before="25" w:after="25" w:line="360" w:lineRule="auto"/>
              <w:jc w:val="left"/>
              <w:textAlignment w:val="auto"/>
              <w:rPr>
                <w:rFonts w:hint="eastAsia" w:ascii="宋体" w:hAnsi="宋体" w:eastAsia="宋体" w:cs="宋体"/>
                <w:bCs/>
                <w:color w:val="auto"/>
                <w:spacing w:val="10"/>
                <w:kern w:val="0"/>
                <w:sz w:val="21"/>
                <w:szCs w:val="21"/>
                <w:highlight w:val="none"/>
                <w:lang w:val="en-US" w:eastAsia="zh-CN" w:bidi="ar-SA"/>
              </w:rPr>
            </w:pPr>
            <w:r>
              <w:rPr>
                <w:rFonts w:hint="eastAsia" w:ascii="宋体" w:hAnsi="宋体" w:eastAsia="宋体" w:cs="宋体"/>
                <w:bCs w:val="0"/>
                <w:color w:val="auto"/>
                <w:spacing w:val="0"/>
                <w:kern w:val="2"/>
                <w:sz w:val="21"/>
                <w:szCs w:val="21"/>
                <w:highlight w:val="none"/>
                <w:lang w:val="en-US" w:eastAsia="zh-CN" w:bidi="ar-SA"/>
              </w:rPr>
              <w:t>每发现1项不符合要求扣1分。</w:t>
            </w:r>
          </w:p>
        </w:tc>
        <w:tc>
          <w:tcPr>
            <w:tcW w:w="668" w:type="dxa"/>
            <w:noWrap w:val="0"/>
            <w:vAlign w:val="center"/>
          </w:tcPr>
          <w:p w14:paraId="78149209">
            <w:pPr>
              <w:keepNext w:val="0"/>
              <w:keepLines w:val="0"/>
              <w:pageBreakBefore w:val="0"/>
              <w:widowControl w:val="0"/>
              <w:tabs>
                <w:tab w:val="left" w:pos="-1440"/>
                <w:tab w:val="left" w:pos="601"/>
              </w:tabs>
              <w:kinsoku/>
              <w:wordWrap/>
              <w:overflowPunct/>
              <w:topLinePunct w:val="0"/>
              <w:autoSpaceDE/>
              <w:autoSpaceDN/>
              <w:bidi w:val="0"/>
              <w:adjustRightInd/>
              <w:snapToGrid/>
              <w:spacing w:line="360" w:lineRule="auto"/>
              <w:textAlignment w:val="auto"/>
              <w:rPr>
                <w:rFonts w:hint="eastAsia" w:ascii="宋体" w:hAnsi="宋体" w:eastAsia="宋体" w:cs="宋体"/>
                <w:color w:val="auto"/>
                <w:kern w:val="2"/>
                <w:sz w:val="21"/>
                <w:szCs w:val="21"/>
                <w:highlight w:val="none"/>
              </w:rPr>
            </w:pPr>
          </w:p>
        </w:tc>
      </w:tr>
      <w:tr w14:paraId="1BC7390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03" w:type="dxa"/>
            <w:noWrap w:val="0"/>
            <w:vAlign w:val="center"/>
          </w:tcPr>
          <w:p w14:paraId="3D0FA557">
            <w:pPr>
              <w:keepNext w:val="0"/>
              <w:keepLines w:val="0"/>
              <w:pageBreakBefore w:val="0"/>
              <w:widowControl w:val="0"/>
              <w:tabs>
                <w:tab w:val="left" w:pos="-1440"/>
                <w:tab w:val="left" w:pos="601"/>
              </w:tabs>
              <w:kinsoku/>
              <w:wordWrap/>
              <w:overflowPunct/>
              <w:topLinePunct w:val="0"/>
              <w:autoSpaceDE/>
              <w:autoSpaceDN/>
              <w:bidi w:val="0"/>
              <w:adjustRightInd/>
              <w:snapToGrid/>
              <w:spacing w:line="360" w:lineRule="auto"/>
              <w:jc w:val="center"/>
              <w:textAlignment w:val="auto"/>
              <w:rPr>
                <w:rFonts w:hint="eastAsia" w:ascii="宋体" w:hAnsi="宋体" w:eastAsia="宋体" w:cs="宋体"/>
                <w:color w:val="auto"/>
                <w:kern w:val="2"/>
                <w:sz w:val="21"/>
                <w:szCs w:val="21"/>
                <w:highlight w:val="none"/>
              </w:rPr>
            </w:pPr>
            <w:r>
              <w:rPr>
                <w:rFonts w:hint="eastAsia" w:ascii="宋体" w:hAnsi="宋体" w:eastAsia="宋体" w:cs="宋体"/>
                <w:color w:val="auto"/>
                <w:kern w:val="2"/>
                <w:sz w:val="21"/>
                <w:szCs w:val="21"/>
                <w:highlight w:val="none"/>
              </w:rPr>
              <w:t>3</w:t>
            </w:r>
          </w:p>
        </w:tc>
        <w:tc>
          <w:tcPr>
            <w:tcW w:w="1827" w:type="dxa"/>
            <w:noWrap w:val="0"/>
            <w:vAlign w:val="center"/>
          </w:tcPr>
          <w:p w14:paraId="73805BB6">
            <w:pPr>
              <w:keepNext w:val="0"/>
              <w:keepLines w:val="0"/>
              <w:pageBreakBefore w:val="0"/>
              <w:widowControl w:val="0"/>
              <w:tabs>
                <w:tab w:val="left" w:pos="-1440"/>
                <w:tab w:val="left" w:pos="601"/>
              </w:tabs>
              <w:kinsoku/>
              <w:wordWrap/>
              <w:overflowPunct/>
              <w:topLinePunct w:val="0"/>
              <w:autoSpaceDE/>
              <w:autoSpaceDN/>
              <w:bidi w:val="0"/>
              <w:adjustRightInd/>
              <w:snapToGrid/>
              <w:spacing w:line="360" w:lineRule="auto"/>
              <w:jc w:val="center"/>
              <w:textAlignment w:val="auto"/>
              <w:rPr>
                <w:rFonts w:hint="eastAsia" w:ascii="宋体" w:hAnsi="宋体" w:eastAsia="宋体" w:cs="宋体"/>
                <w:color w:val="auto"/>
                <w:kern w:val="2"/>
                <w:sz w:val="21"/>
                <w:szCs w:val="21"/>
                <w:highlight w:val="none"/>
              </w:rPr>
            </w:pPr>
            <w:r>
              <w:rPr>
                <w:rFonts w:hint="eastAsia" w:ascii="宋体" w:hAnsi="宋体" w:eastAsia="宋体" w:cs="宋体"/>
                <w:color w:val="auto"/>
                <w:kern w:val="2"/>
                <w:sz w:val="21"/>
                <w:szCs w:val="21"/>
                <w:highlight w:val="none"/>
              </w:rPr>
              <w:t>信息化质量追溯</w:t>
            </w:r>
          </w:p>
        </w:tc>
        <w:tc>
          <w:tcPr>
            <w:tcW w:w="2770" w:type="dxa"/>
            <w:noWrap w:val="0"/>
            <w:vAlign w:val="center"/>
          </w:tcPr>
          <w:p w14:paraId="013C5EEF">
            <w:pPr>
              <w:keepNext w:val="0"/>
              <w:keepLines w:val="0"/>
              <w:pageBreakBefore w:val="0"/>
              <w:widowControl w:val="0"/>
              <w:tabs>
                <w:tab w:val="left" w:pos="-1440"/>
                <w:tab w:val="left" w:pos="601"/>
              </w:tabs>
              <w:kinsoku/>
              <w:wordWrap/>
              <w:overflowPunct/>
              <w:topLinePunct w:val="0"/>
              <w:autoSpaceDE/>
              <w:autoSpaceDN/>
              <w:bidi w:val="0"/>
              <w:adjustRightInd/>
              <w:snapToGrid/>
              <w:spacing w:line="360" w:lineRule="auto"/>
              <w:textAlignment w:val="auto"/>
              <w:rPr>
                <w:rFonts w:hint="eastAsia" w:ascii="宋体" w:hAnsi="宋体" w:eastAsia="宋体" w:cs="宋体"/>
                <w:color w:val="auto"/>
                <w:kern w:val="2"/>
                <w:sz w:val="21"/>
                <w:szCs w:val="21"/>
                <w:highlight w:val="none"/>
              </w:rPr>
            </w:pPr>
            <w:r>
              <w:rPr>
                <w:rFonts w:hint="eastAsia" w:ascii="宋体" w:hAnsi="宋体" w:eastAsia="宋体" w:cs="宋体"/>
                <w:color w:val="auto"/>
                <w:kern w:val="2"/>
                <w:sz w:val="21"/>
                <w:szCs w:val="21"/>
                <w:highlight w:val="none"/>
                <w:lang w:eastAsia="zh-CN"/>
              </w:rPr>
              <w:t>应采用数字化信息系统进行管理，对器械清洗、消毒、灭菌全流程进行追溯，做到质量可追溯（植入物等器械生物、物理、化学监测结果须上传系统，医院同步可查看）</w:t>
            </w:r>
          </w:p>
        </w:tc>
        <w:tc>
          <w:tcPr>
            <w:tcW w:w="1020" w:type="dxa"/>
            <w:noWrap w:val="0"/>
            <w:vAlign w:val="center"/>
          </w:tcPr>
          <w:p w14:paraId="5479FC29">
            <w:pPr>
              <w:keepNext w:val="0"/>
              <w:keepLines w:val="0"/>
              <w:pageBreakBefore w:val="0"/>
              <w:widowControl w:val="0"/>
              <w:tabs>
                <w:tab w:val="left" w:pos="-1440"/>
                <w:tab w:val="left" w:pos="601"/>
              </w:tabs>
              <w:kinsoku/>
              <w:wordWrap/>
              <w:overflowPunct/>
              <w:topLinePunct w:val="0"/>
              <w:autoSpaceDE/>
              <w:autoSpaceDN/>
              <w:bidi w:val="0"/>
              <w:adjustRightInd/>
              <w:snapToGrid/>
              <w:spacing w:line="360" w:lineRule="auto"/>
              <w:jc w:val="center"/>
              <w:textAlignment w:val="auto"/>
              <w:rPr>
                <w:rFonts w:hint="eastAsia" w:ascii="宋体" w:hAnsi="宋体" w:eastAsia="宋体" w:cs="宋体"/>
                <w:color w:val="auto"/>
                <w:kern w:val="2"/>
                <w:sz w:val="21"/>
                <w:szCs w:val="21"/>
                <w:highlight w:val="none"/>
                <w:lang w:val="en-US" w:eastAsia="zh-CN"/>
              </w:rPr>
            </w:pPr>
            <w:r>
              <w:rPr>
                <w:rFonts w:hint="eastAsia" w:ascii="宋体" w:hAnsi="宋体" w:eastAsia="宋体" w:cs="宋体"/>
                <w:color w:val="auto"/>
                <w:kern w:val="2"/>
                <w:sz w:val="21"/>
                <w:szCs w:val="21"/>
                <w:highlight w:val="none"/>
              </w:rPr>
              <w:t>5</w:t>
            </w:r>
            <w:r>
              <w:rPr>
                <w:rFonts w:hint="eastAsia" w:ascii="宋体" w:hAnsi="宋体" w:eastAsia="宋体" w:cs="宋体"/>
                <w:color w:val="auto"/>
                <w:kern w:val="2"/>
                <w:sz w:val="21"/>
                <w:szCs w:val="21"/>
                <w:highlight w:val="none"/>
                <w:lang w:val="en-US" w:eastAsia="zh-CN"/>
              </w:rPr>
              <w:t>分</w:t>
            </w:r>
          </w:p>
        </w:tc>
        <w:tc>
          <w:tcPr>
            <w:tcW w:w="2066" w:type="dxa"/>
            <w:noWrap w:val="0"/>
            <w:vAlign w:val="center"/>
          </w:tcPr>
          <w:p w14:paraId="0EF1F974">
            <w:pPr>
              <w:keepNext w:val="0"/>
              <w:keepLines w:val="0"/>
              <w:pageBreakBefore w:val="0"/>
              <w:widowControl w:val="0"/>
              <w:tabs>
                <w:tab w:val="left" w:pos="-1440"/>
                <w:tab w:val="left" w:pos="601"/>
              </w:tabs>
              <w:kinsoku/>
              <w:wordWrap/>
              <w:overflowPunct/>
              <w:topLinePunct w:val="0"/>
              <w:autoSpaceDE/>
              <w:autoSpaceDN/>
              <w:bidi w:val="0"/>
              <w:adjustRightInd/>
              <w:snapToGrid/>
              <w:spacing w:line="360" w:lineRule="auto"/>
              <w:textAlignment w:val="auto"/>
              <w:rPr>
                <w:rFonts w:hint="eastAsia" w:ascii="宋体" w:hAnsi="宋体" w:eastAsia="宋体" w:cs="宋体"/>
                <w:color w:val="auto"/>
                <w:kern w:val="2"/>
                <w:sz w:val="21"/>
                <w:szCs w:val="21"/>
                <w:highlight w:val="none"/>
              </w:rPr>
            </w:pPr>
            <w:r>
              <w:rPr>
                <w:rFonts w:hint="eastAsia" w:ascii="宋体" w:hAnsi="宋体" w:eastAsia="宋体" w:cs="宋体"/>
                <w:color w:val="auto"/>
                <w:kern w:val="2"/>
                <w:sz w:val="21"/>
                <w:szCs w:val="21"/>
                <w:highlight w:val="none"/>
                <w:lang w:eastAsia="zh-CN"/>
              </w:rPr>
              <w:t>发现1处没有记录，扣1分。</w:t>
            </w:r>
          </w:p>
        </w:tc>
        <w:tc>
          <w:tcPr>
            <w:tcW w:w="668" w:type="dxa"/>
            <w:noWrap w:val="0"/>
            <w:vAlign w:val="center"/>
          </w:tcPr>
          <w:p w14:paraId="0A274E67">
            <w:pPr>
              <w:keepNext w:val="0"/>
              <w:keepLines w:val="0"/>
              <w:pageBreakBefore w:val="0"/>
              <w:widowControl w:val="0"/>
              <w:tabs>
                <w:tab w:val="left" w:pos="-1440"/>
                <w:tab w:val="left" w:pos="601"/>
              </w:tabs>
              <w:kinsoku/>
              <w:wordWrap/>
              <w:overflowPunct/>
              <w:topLinePunct w:val="0"/>
              <w:autoSpaceDE/>
              <w:autoSpaceDN/>
              <w:bidi w:val="0"/>
              <w:adjustRightInd/>
              <w:snapToGrid/>
              <w:spacing w:line="360" w:lineRule="auto"/>
              <w:textAlignment w:val="auto"/>
              <w:rPr>
                <w:rFonts w:hint="eastAsia" w:ascii="宋体" w:hAnsi="宋体" w:eastAsia="宋体" w:cs="宋体"/>
                <w:color w:val="auto"/>
                <w:kern w:val="2"/>
                <w:sz w:val="21"/>
                <w:szCs w:val="21"/>
                <w:highlight w:val="none"/>
              </w:rPr>
            </w:pPr>
          </w:p>
        </w:tc>
      </w:tr>
      <w:tr w14:paraId="79A6731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03" w:type="dxa"/>
            <w:noWrap w:val="0"/>
            <w:vAlign w:val="center"/>
          </w:tcPr>
          <w:p w14:paraId="423B1835">
            <w:pPr>
              <w:keepNext w:val="0"/>
              <w:keepLines w:val="0"/>
              <w:pageBreakBefore w:val="0"/>
              <w:widowControl w:val="0"/>
              <w:tabs>
                <w:tab w:val="left" w:pos="-1440"/>
                <w:tab w:val="left" w:pos="601"/>
              </w:tabs>
              <w:kinsoku/>
              <w:wordWrap/>
              <w:overflowPunct/>
              <w:topLinePunct w:val="0"/>
              <w:autoSpaceDE/>
              <w:autoSpaceDN/>
              <w:bidi w:val="0"/>
              <w:adjustRightInd/>
              <w:snapToGrid/>
              <w:spacing w:line="360" w:lineRule="auto"/>
              <w:jc w:val="center"/>
              <w:textAlignment w:val="auto"/>
              <w:rPr>
                <w:rFonts w:hint="eastAsia" w:ascii="宋体" w:hAnsi="宋体" w:eastAsia="宋体" w:cs="宋体"/>
                <w:color w:val="auto"/>
                <w:kern w:val="2"/>
                <w:sz w:val="21"/>
                <w:szCs w:val="21"/>
                <w:highlight w:val="none"/>
              </w:rPr>
            </w:pPr>
            <w:r>
              <w:rPr>
                <w:rFonts w:hint="eastAsia" w:ascii="宋体" w:hAnsi="宋体" w:eastAsia="宋体" w:cs="宋体"/>
                <w:color w:val="auto"/>
                <w:kern w:val="2"/>
                <w:sz w:val="21"/>
                <w:szCs w:val="21"/>
                <w:highlight w:val="none"/>
              </w:rPr>
              <w:t>4</w:t>
            </w:r>
          </w:p>
        </w:tc>
        <w:tc>
          <w:tcPr>
            <w:tcW w:w="1827" w:type="dxa"/>
            <w:noWrap w:val="0"/>
            <w:vAlign w:val="center"/>
          </w:tcPr>
          <w:p w14:paraId="085C03AC">
            <w:pPr>
              <w:keepNext w:val="0"/>
              <w:keepLines w:val="0"/>
              <w:pageBreakBefore w:val="0"/>
              <w:widowControl w:val="0"/>
              <w:tabs>
                <w:tab w:val="left" w:pos="-1440"/>
                <w:tab w:val="left" w:pos="601"/>
              </w:tabs>
              <w:kinsoku/>
              <w:wordWrap/>
              <w:overflowPunct/>
              <w:topLinePunct w:val="0"/>
              <w:autoSpaceDE/>
              <w:autoSpaceDN/>
              <w:bidi w:val="0"/>
              <w:adjustRightInd/>
              <w:snapToGrid/>
              <w:spacing w:line="360" w:lineRule="auto"/>
              <w:jc w:val="center"/>
              <w:textAlignment w:val="auto"/>
              <w:rPr>
                <w:rFonts w:hint="eastAsia" w:ascii="宋体" w:hAnsi="宋体" w:eastAsia="宋体" w:cs="宋体"/>
                <w:color w:val="auto"/>
                <w:kern w:val="2"/>
                <w:sz w:val="21"/>
                <w:szCs w:val="21"/>
                <w:highlight w:val="none"/>
              </w:rPr>
            </w:pPr>
            <w:r>
              <w:rPr>
                <w:rFonts w:hint="eastAsia" w:ascii="宋体" w:hAnsi="宋体" w:eastAsia="宋体" w:cs="宋体"/>
                <w:color w:val="auto"/>
                <w:kern w:val="2"/>
                <w:sz w:val="21"/>
                <w:szCs w:val="21"/>
                <w:highlight w:val="none"/>
                <w:lang w:eastAsia="zh-CN"/>
              </w:rPr>
              <w:t>器械灭菌后送回及时率</w:t>
            </w:r>
          </w:p>
        </w:tc>
        <w:tc>
          <w:tcPr>
            <w:tcW w:w="2770" w:type="dxa"/>
            <w:noWrap w:val="0"/>
            <w:vAlign w:val="center"/>
          </w:tcPr>
          <w:p w14:paraId="48BC54D4">
            <w:pPr>
              <w:keepNext w:val="0"/>
              <w:keepLines w:val="0"/>
              <w:pageBreakBefore w:val="0"/>
              <w:widowControl w:val="0"/>
              <w:tabs>
                <w:tab w:val="left" w:pos="-1440"/>
                <w:tab w:val="left" w:pos="601"/>
              </w:tabs>
              <w:kinsoku/>
              <w:wordWrap/>
              <w:overflowPunct/>
              <w:topLinePunct w:val="0"/>
              <w:autoSpaceDE/>
              <w:autoSpaceDN/>
              <w:bidi w:val="0"/>
              <w:adjustRightInd/>
              <w:snapToGrid/>
              <w:spacing w:line="360" w:lineRule="auto"/>
              <w:textAlignment w:val="auto"/>
              <w:rPr>
                <w:rFonts w:hint="eastAsia" w:ascii="宋体" w:hAnsi="宋体" w:eastAsia="宋体" w:cs="宋体"/>
                <w:color w:val="auto"/>
                <w:kern w:val="2"/>
                <w:sz w:val="21"/>
                <w:szCs w:val="21"/>
                <w:highlight w:val="none"/>
              </w:rPr>
            </w:pPr>
            <w:r>
              <w:rPr>
                <w:rFonts w:hint="eastAsia" w:ascii="宋体" w:hAnsi="宋体" w:eastAsia="宋体" w:cs="宋体"/>
                <w:color w:val="auto"/>
                <w:kern w:val="2"/>
                <w:sz w:val="21"/>
                <w:szCs w:val="21"/>
                <w:highlight w:val="none"/>
                <w:lang w:eastAsia="zh-CN"/>
              </w:rPr>
              <w:t>应按照双方约定时间按时将灭菌后器械送回（8：00</w:t>
            </w:r>
            <w:r>
              <w:rPr>
                <w:rFonts w:hint="eastAsia" w:ascii="宋体" w:hAnsi="宋体" w:eastAsia="宋体" w:cs="宋体"/>
                <w:color w:val="auto"/>
                <w:kern w:val="2"/>
                <w:sz w:val="21"/>
                <w:szCs w:val="21"/>
                <w:highlight w:val="none"/>
                <w:lang w:val="en-US" w:eastAsia="zh-CN"/>
              </w:rPr>
              <w:t>前</w:t>
            </w:r>
            <w:r>
              <w:rPr>
                <w:rFonts w:hint="eastAsia" w:ascii="宋体" w:hAnsi="宋体" w:eastAsia="宋体" w:cs="宋体"/>
                <w:color w:val="auto"/>
                <w:kern w:val="2"/>
                <w:sz w:val="21"/>
                <w:szCs w:val="21"/>
                <w:highlight w:val="none"/>
                <w:lang w:eastAsia="zh-CN"/>
              </w:rPr>
              <w:t>,16:00</w:t>
            </w:r>
            <w:r>
              <w:rPr>
                <w:rFonts w:hint="eastAsia" w:ascii="宋体" w:hAnsi="宋体" w:eastAsia="宋体" w:cs="宋体"/>
                <w:color w:val="auto"/>
                <w:kern w:val="2"/>
                <w:sz w:val="21"/>
                <w:szCs w:val="21"/>
                <w:highlight w:val="none"/>
                <w:lang w:val="en-US" w:eastAsia="zh-CN"/>
              </w:rPr>
              <w:t>前</w:t>
            </w:r>
            <w:r>
              <w:rPr>
                <w:rFonts w:hint="eastAsia" w:ascii="宋体" w:hAnsi="宋体" w:eastAsia="宋体" w:cs="宋体"/>
                <w:color w:val="auto"/>
                <w:kern w:val="2"/>
                <w:sz w:val="21"/>
                <w:szCs w:val="21"/>
                <w:highlight w:val="none"/>
                <w:lang w:eastAsia="zh-CN"/>
              </w:rPr>
              <w:t>）</w:t>
            </w:r>
          </w:p>
        </w:tc>
        <w:tc>
          <w:tcPr>
            <w:tcW w:w="1020" w:type="dxa"/>
            <w:noWrap w:val="0"/>
            <w:vAlign w:val="center"/>
          </w:tcPr>
          <w:p w14:paraId="4A71C6B9">
            <w:pPr>
              <w:keepNext w:val="0"/>
              <w:keepLines w:val="0"/>
              <w:pageBreakBefore w:val="0"/>
              <w:widowControl w:val="0"/>
              <w:tabs>
                <w:tab w:val="left" w:pos="-1440"/>
                <w:tab w:val="left" w:pos="601"/>
              </w:tabs>
              <w:kinsoku/>
              <w:wordWrap/>
              <w:overflowPunct/>
              <w:topLinePunct w:val="0"/>
              <w:autoSpaceDE/>
              <w:autoSpaceDN/>
              <w:bidi w:val="0"/>
              <w:adjustRightInd/>
              <w:snapToGrid/>
              <w:spacing w:line="360" w:lineRule="auto"/>
              <w:jc w:val="center"/>
              <w:textAlignment w:val="auto"/>
              <w:rPr>
                <w:rFonts w:hint="eastAsia" w:ascii="宋体" w:hAnsi="宋体" w:eastAsia="宋体" w:cs="宋体"/>
                <w:color w:val="auto"/>
                <w:kern w:val="2"/>
                <w:sz w:val="21"/>
                <w:szCs w:val="21"/>
                <w:highlight w:val="none"/>
                <w:lang w:val="en-US" w:eastAsia="zh-CN"/>
              </w:rPr>
            </w:pPr>
            <w:r>
              <w:rPr>
                <w:rFonts w:hint="eastAsia" w:ascii="宋体" w:hAnsi="宋体" w:eastAsia="宋体" w:cs="宋体"/>
                <w:color w:val="auto"/>
                <w:kern w:val="2"/>
                <w:sz w:val="21"/>
                <w:szCs w:val="21"/>
                <w:highlight w:val="none"/>
              </w:rPr>
              <w:t>5</w:t>
            </w:r>
            <w:r>
              <w:rPr>
                <w:rFonts w:hint="eastAsia" w:ascii="宋体" w:hAnsi="宋体" w:eastAsia="宋体" w:cs="宋体"/>
                <w:color w:val="auto"/>
                <w:kern w:val="2"/>
                <w:sz w:val="21"/>
                <w:szCs w:val="21"/>
                <w:highlight w:val="none"/>
                <w:lang w:val="en-US" w:eastAsia="zh-CN"/>
              </w:rPr>
              <w:t>分</w:t>
            </w:r>
          </w:p>
        </w:tc>
        <w:tc>
          <w:tcPr>
            <w:tcW w:w="2066" w:type="dxa"/>
            <w:noWrap w:val="0"/>
            <w:vAlign w:val="center"/>
          </w:tcPr>
          <w:p w14:paraId="26D011EF">
            <w:pPr>
              <w:keepNext w:val="0"/>
              <w:keepLines w:val="0"/>
              <w:pageBreakBefore w:val="0"/>
              <w:widowControl w:val="0"/>
              <w:tabs>
                <w:tab w:val="left" w:pos="-1440"/>
                <w:tab w:val="left" w:pos="601"/>
              </w:tabs>
              <w:kinsoku/>
              <w:wordWrap/>
              <w:overflowPunct/>
              <w:topLinePunct w:val="0"/>
              <w:autoSpaceDE/>
              <w:autoSpaceDN/>
              <w:bidi w:val="0"/>
              <w:adjustRightInd/>
              <w:snapToGrid/>
              <w:spacing w:line="360" w:lineRule="auto"/>
              <w:textAlignment w:val="auto"/>
              <w:rPr>
                <w:rFonts w:hint="default" w:ascii="宋体" w:hAnsi="宋体" w:eastAsia="宋体" w:cs="宋体"/>
                <w:color w:val="auto"/>
                <w:kern w:val="2"/>
                <w:sz w:val="21"/>
                <w:szCs w:val="21"/>
                <w:highlight w:val="none"/>
                <w:lang w:val="en-US"/>
              </w:rPr>
            </w:pPr>
            <w:r>
              <w:rPr>
                <w:rFonts w:hint="eastAsia" w:ascii="宋体" w:hAnsi="宋体" w:eastAsia="宋体" w:cs="宋体"/>
                <w:color w:val="auto"/>
                <w:kern w:val="2"/>
                <w:sz w:val="21"/>
                <w:szCs w:val="21"/>
                <w:highlight w:val="none"/>
                <w:lang w:eastAsia="zh-CN"/>
              </w:rPr>
              <w:t>每发现一次不准时扣0.5分。</w:t>
            </w:r>
          </w:p>
        </w:tc>
        <w:tc>
          <w:tcPr>
            <w:tcW w:w="668" w:type="dxa"/>
            <w:noWrap w:val="0"/>
            <w:vAlign w:val="center"/>
          </w:tcPr>
          <w:p w14:paraId="149D6805">
            <w:pPr>
              <w:keepNext w:val="0"/>
              <w:keepLines w:val="0"/>
              <w:pageBreakBefore w:val="0"/>
              <w:widowControl w:val="0"/>
              <w:tabs>
                <w:tab w:val="left" w:pos="-1440"/>
                <w:tab w:val="left" w:pos="601"/>
              </w:tabs>
              <w:kinsoku/>
              <w:wordWrap/>
              <w:overflowPunct/>
              <w:topLinePunct w:val="0"/>
              <w:autoSpaceDE/>
              <w:autoSpaceDN/>
              <w:bidi w:val="0"/>
              <w:adjustRightInd/>
              <w:snapToGrid/>
              <w:spacing w:line="360" w:lineRule="auto"/>
              <w:textAlignment w:val="auto"/>
              <w:rPr>
                <w:rFonts w:hint="eastAsia" w:ascii="宋体" w:hAnsi="宋体" w:eastAsia="宋体" w:cs="宋体"/>
                <w:color w:val="auto"/>
                <w:kern w:val="2"/>
                <w:sz w:val="21"/>
                <w:szCs w:val="21"/>
                <w:highlight w:val="none"/>
              </w:rPr>
            </w:pPr>
          </w:p>
        </w:tc>
      </w:tr>
      <w:tr w14:paraId="0EC782E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03" w:type="dxa"/>
            <w:noWrap w:val="0"/>
            <w:vAlign w:val="center"/>
          </w:tcPr>
          <w:p w14:paraId="7C5D6E67">
            <w:pPr>
              <w:keepNext w:val="0"/>
              <w:keepLines w:val="0"/>
              <w:pageBreakBefore w:val="0"/>
              <w:widowControl w:val="0"/>
              <w:tabs>
                <w:tab w:val="left" w:pos="-1440"/>
                <w:tab w:val="left" w:pos="601"/>
              </w:tabs>
              <w:kinsoku/>
              <w:wordWrap/>
              <w:overflowPunct/>
              <w:topLinePunct w:val="0"/>
              <w:autoSpaceDE/>
              <w:autoSpaceDN/>
              <w:bidi w:val="0"/>
              <w:adjustRightInd/>
              <w:snapToGrid/>
              <w:spacing w:line="360" w:lineRule="auto"/>
              <w:jc w:val="center"/>
              <w:textAlignment w:val="auto"/>
              <w:rPr>
                <w:rFonts w:hint="eastAsia" w:ascii="宋体" w:hAnsi="宋体" w:eastAsia="宋体" w:cs="宋体"/>
                <w:color w:val="auto"/>
                <w:kern w:val="2"/>
                <w:sz w:val="21"/>
                <w:szCs w:val="21"/>
                <w:highlight w:val="none"/>
              </w:rPr>
            </w:pPr>
            <w:r>
              <w:rPr>
                <w:rFonts w:hint="eastAsia" w:ascii="宋体" w:hAnsi="宋体" w:eastAsia="宋体" w:cs="宋体"/>
                <w:color w:val="auto"/>
                <w:kern w:val="2"/>
                <w:sz w:val="21"/>
                <w:szCs w:val="21"/>
                <w:highlight w:val="none"/>
              </w:rPr>
              <w:t>5</w:t>
            </w:r>
          </w:p>
        </w:tc>
        <w:tc>
          <w:tcPr>
            <w:tcW w:w="1827" w:type="dxa"/>
            <w:noWrap w:val="0"/>
            <w:vAlign w:val="center"/>
          </w:tcPr>
          <w:p w14:paraId="3413D226">
            <w:pPr>
              <w:keepNext w:val="0"/>
              <w:keepLines w:val="0"/>
              <w:pageBreakBefore w:val="0"/>
              <w:widowControl w:val="0"/>
              <w:tabs>
                <w:tab w:val="left" w:pos="-1440"/>
                <w:tab w:val="left" w:pos="601"/>
              </w:tabs>
              <w:kinsoku/>
              <w:wordWrap/>
              <w:overflowPunct/>
              <w:topLinePunct w:val="0"/>
              <w:autoSpaceDE/>
              <w:autoSpaceDN/>
              <w:bidi w:val="0"/>
              <w:adjustRightInd/>
              <w:snapToGrid/>
              <w:spacing w:line="360" w:lineRule="auto"/>
              <w:jc w:val="center"/>
              <w:textAlignment w:val="auto"/>
              <w:rPr>
                <w:rFonts w:hint="eastAsia" w:ascii="宋体" w:hAnsi="宋体" w:eastAsia="宋体" w:cs="宋体"/>
                <w:color w:val="auto"/>
                <w:kern w:val="2"/>
                <w:sz w:val="21"/>
                <w:szCs w:val="21"/>
                <w:highlight w:val="none"/>
              </w:rPr>
            </w:pPr>
            <w:r>
              <w:rPr>
                <w:rFonts w:hint="eastAsia" w:ascii="宋体" w:hAnsi="宋体" w:eastAsia="宋体" w:cs="宋体"/>
                <w:color w:val="auto"/>
                <w:kern w:val="2"/>
                <w:sz w:val="21"/>
                <w:szCs w:val="21"/>
                <w:highlight w:val="none"/>
              </w:rPr>
              <w:t>清洗合格率</w:t>
            </w:r>
          </w:p>
        </w:tc>
        <w:tc>
          <w:tcPr>
            <w:tcW w:w="2770" w:type="dxa"/>
            <w:noWrap w:val="0"/>
            <w:vAlign w:val="center"/>
          </w:tcPr>
          <w:p w14:paraId="6AA44276">
            <w:pPr>
              <w:keepNext w:val="0"/>
              <w:keepLines w:val="0"/>
              <w:pageBreakBefore w:val="0"/>
              <w:widowControl w:val="0"/>
              <w:tabs>
                <w:tab w:val="left" w:pos="-1440"/>
                <w:tab w:val="left" w:pos="601"/>
              </w:tabs>
              <w:kinsoku/>
              <w:wordWrap/>
              <w:overflowPunct/>
              <w:topLinePunct w:val="0"/>
              <w:autoSpaceDE/>
              <w:autoSpaceDN/>
              <w:bidi w:val="0"/>
              <w:adjustRightInd/>
              <w:snapToGrid/>
              <w:spacing w:line="360" w:lineRule="auto"/>
              <w:textAlignment w:val="auto"/>
              <w:rPr>
                <w:rFonts w:hint="eastAsia" w:ascii="宋体" w:hAnsi="宋体" w:eastAsia="宋体" w:cs="宋体"/>
                <w:color w:val="auto"/>
                <w:kern w:val="2"/>
                <w:sz w:val="21"/>
                <w:szCs w:val="21"/>
                <w:highlight w:val="none"/>
                <w:lang w:eastAsia="zh-CN"/>
              </w:rPr>
            </w:pPr>
            <w:r>
              <w:rPr>
                <w:rFonts w:hint="eastAsia" w:ascii="宋体" w:hAnsi="宋体" w:eastAsia="宋体" w:cs="宋体"/>
                <w:color w:val="auto"/>
                <w:kern w:val="2"/>
                <w:sz w:val="21"/>
                <w:szCs w:val="21"/>
                <w:highlight w:val="none"/>
                <w:lang w:eastAsia="zh-CN"/>
              </w:rPr>
              <w:t>要求：</w:t>
            </w:r>
          </w:p>
          <w:p w14:paraId="1918FEEA">
            <w:pPr>
              <w:keepNext w:val="0"/>
              <w:keepLines w:val="0"/>
              <w:pageBreakBefore w:val="0"/>
              <w:widowControl w:val="0"/>
              <w:tabs>
                <w:tab w:val="left" w:pos="-1440"/>
                <w:tab w:val="left" w:pos="601"/>
              </w:tabs>
              <w:kinsoku/>
              <w:wordWrap/>
              <w:overflowPunct/>
              <w:topLinePunct w:val="0"/>
              <w:autoSpaceDE/>
              <w:autoSpaceDN/>
              <w:bidi w:val="0"/>
              <w:adjustRightInd/>
              <w:snapToGrid/>
              <w:spacing w:line="360" w:lineRule="auto"/>
              <w:textAlignment w:val="auto"/>
              <w:rPr>
                <w:rFonts w:hint="eastAsia" w:ascii="宋体" w:hAnsi="宋体" w:eastAsia="宋体" w:cs="宋体"/>
                <w:color w:val="auto"/>
                <w:kern w:val="2"/>
                <w:sz w:val="21"/>
                <w:szCs w:val="21"/>
                <w:highlight w:val="none"/>
                <w:lang w:eastAsia="zh-CN"/>
              </w:rPr>
            </w:pPr>
            <w:r>
              <w:rPr>
                <w:rFonts w:hint="eastAsia" w:ascii="宋体" w:hAnsi="宋体" w:eastAsia="宋体" w:cs="宋体"/>
                <w:color w:val="auto"/>
                <w:kern w:val="2"/>
                <w:sz w:val="21"/>
                <w:szCs w:val="21"/>
                <w:highlight w:val="none"/>
                <w:lang w:eastAsia="zh-CN"/>
              </w:rPr>
              <w:t>1．每月的清洗合格率质量指标应达到99%以上（5分）。</w:t>
            </w:r>
          </w:p>
          <w:p w14:paraId="27BF000F">
            <w:pPr>
              <w:keepNext w:val="0"/>
              <w:keepLines w:val="0"/>
              <w:pageBreakBefore w:val="0"/>
              <w:widowControl w:val="0"/>
              <w:tabs>
                <w:tab w:val="left" w:pos="-1440"/>
                <w:tab w:val="left" w:pos="601"/>
              </w:tabs>
              <w:kinsoku/>
              <w:wordWrap/>
              <w:overflowPunct/>
              <w:topLinePunct w:val="0"/>
              <w:autoSpaceDE/>
              <w:autoSpaceDN/>
              <w:bidi w:val="0"/>
              <w:adjustRightInd/>
              <w:snapToGrid/>
              <w:spacing w:line="360" w:lineRule="auto"/>
              <w:textAlignment w:val="auto"/>
              <w:rPr>
                <w:rFonts w:hint="eastAsia" w:ascii="宋体" w:hAnsi="宋体" w:eastAsia="宋体" w:cs="宋体"/>
                <w:color w:val="auto"/>
                <w:kern w:val="2"/>
                <w:sz w:val="21"/>
                <w:szCs w:val="21"/>
                <w:highlight w:val="none"/>
                <w:lang w:eastAsia="zh-CN"/>
              </w:rPr>
            </w:pPr>
            <w:r>
              <w:rPr>
                <w:rFonts w:hint="eastAsia" w:ascii="宋体" w:hAnsi="宋体" w:eastAsia="宋体" w:cs="宋体"/>
                <w:color w:val="auto"/>
                <w:kern w:val="2"/>
                <w:sz w:val="21"/>
                <w:szCs w:val="21"/>
                <w:highlight w:val="none"/>
                <w:lang w:eastAsia="zh-CN"/>
              </w:rPr>
              <w:t>2．去污区温湿度、水质量、环境达到要求，工作人员手卫生及职业防护达标。（1分）</w:t>
            </w:r>
          </w:p>
          <w:p w14:paraId="519AAB16">
            <w:pPr>
              <w:keepNext w:val="0"/>
              <w:keepLines w:val="0"/>
              <w:pageBreakBefore w:val="0"/>
              <w:widowControl w:val="0"/>
              <w:tabs>
                <w:tab w:val="left" w:pos="-1440"/>
                <w:tab w:val="left" w:pos="601"/>
              </w:tabs>
              <w:kinsoku/>
              <w:wordWrap/>
              <w:overflowPunct/>
              <w:topLinePunct w:val="0"/>
              <w:autoSpaceDE/>
              <w:autoSpaceDN/>
              <w:bidi w:val="0"/>
              <w:adjustRightInd/>
              <w:snapToGrid/>
              <w:spacing w:line="360" w:lineRule="auto"/>
              <w:textAlignment w:val="auto"/>
              <w:rPr>
                <w:rFonts w:hint="eastAsia" w:ascii="宋体" w:hAnsi="宋体" w:eastAsia="宋体" w:cs="宋体"/>
                <w:color w:val="auto"/>
                <w:kern w:val="2"/>
                <w:sz w:val="21"/>
                <w:szCs w:val="21"/>
                <w:highlight w:val="none"/>
                <w:lang w:eastAsia="zh-CN"/>
              </w:rPr>
            </w:pPr>
            <w:r>
              <w:rPr>
                <w:rFonts w:hint="eastAsia" w:ascii="宋体" w:hAnsi="宋体" w:eastAsia="宋体" w:cs="宋体"/>
                <w:color w:val="auto"/>
                <w:kern w:val="2"/>
                <w:sz w:val="21"/>
                <w:szCs w:val="21"/>
                <w:highlight w:val="none"/>
                <w:lang w:eastAsia="zh-CN"/>
              </w:rPr>
              <w:t>3．正确配置各类消毒液，按要求及时更换并有记录。（2分）</w:t>
            </w:r>
          </w:p>
          <w:p w14:paraId="4991D872">
            <w:pPr>
              <w:keepNext w:val="0"/>
              <w:keepLines w:val="0"/>
              <w:pageBreakBefore w:val="0"/>
              <w:widowControl w:val="0"/>
              <w:tabs>
                <w:tab w:val="left" w:pos="-1440"/>
                <w:tab w:val="left" w:pos="601"/>
              </w:tabs>
              <w:kinsoku/>
              <w:wordWrap/>
              <w:overflowPunct/>
              <w:topLinePunct w:val="0"/>
              <w:autoSpaceDE/>
              <w:autoSpaceDN/>
              <w:bidi w:val="0"/>
              <w:adjustRightInd/>
              <w:snapToGrid/>
              <w:spacing w:line="360" w:lineRule="auto"/>
              <w:textAlignment w:val="auto"/>
              <w:rPr>
                <w:rFonts w:hint="eastAsia" w:ascii="宋体" w:hAnsi="宋体" w:eastAsia="宋体" w:cs="宋体"/>
                <w:color w:val="auto"/>
                <w:kern w:val="2"/>
                <w:sz w:val="21"/>
                <w:szCs w:val="21"/>
                <w:highlight w:val="none"/>
                <w:lang w:eastAsia="zh-CN"/>
              </w:rPr>
            </w:pPr>
            <w:r>
              <w:rPr>
                <w:rFonts w:hint="eastAsia" w:ascii="宋体" w:hAnsi="宋体" w:eastAsia="宋体" w:cs="宋体"/>
                <w:color w:val="auto"/>
                <w:kern w:val="2"/>
                <w:sz w:val="21"/>
                <w:szCs w:val="21"/>
                <w:highlight w:val="none"/>
                <w:lang w:eastAsia="zh-CN"/>
              </w:rPr>
              <w:t>4．清点分类：对回收的器械、器具和物品进行清点、核查；根据器械、物品材质、精密程度进行分类（2分）</w:t>
            </w:r>
          </w:p>
          <w:p w14:paraId="0B9F3239">
            <w:pPr>
              <w:keepNext w:val="0"/>
              <w:keepLines w:val="0"/>
              <w:pageBreakBefore w:val="0"/>
              <w:widowControl w:val="0"/>
              <w:tabs>
                <w:tab w:val="left" w:pos="-1440"/>
                <w:tab w:val="left" w:pos="601"/>
              </w:tabs>
              <w:kinsoku/>
              <w:wordWrap/>
              <w:overflowPunct/>
              <w:topLinePunct w:val="0"/>
              <w:autoSpaceDE/>
              <w:autoSpaceDN/>
              <w:bidi w:val="0"/>
              <w:adjustRightInd/>
              <w:snapToGrid/>
              <w:spacing w:line="360" w:lineRule="auto"/>
              <w:textAlignment w:val="auto"/>
              <w:rPr>
                <w:rFonts w:hint="eastAsia" w:ascii="宋体" w:hAnsi="宋体" w:eastAsia="宋体" w:cs="宋体"/>
                <w:color w:val="auto"/>
                <w:kern w:val="2"/>
                <w:sz w:val="21"/>
                <w:szCs w:val="21"/>
                <w:highlight w:val="none"/>
                <w:lang w:eastAsia="zh-CN"/>
              </w:rPr>
            </w:pPr>
            <w:r>
              <w:rPr>
                <w:rFonts w:hint="eastAsia" w:ascii="宋体" w:hAnsi="宋体" w:eastAsia="宋体" w:cs="宋体"/>
                <w:color w:val="auto"/>
                <w:kern w:val="2"/>
                <w:sz w:val="21"/>
                <w:szCs w:val="21"/>
                <w:highlight w:val="none"/>
                <w:lang w:eastAsia="zh-CN"/>
              </w:rPr>
              <w:t>5．清洗步骤符合要求：按照冲洗、洗涤、漂洗、终未漂洗（润滑）、消毒、干燥。（2分）</w:t>
            </w:r>
          </w:p>
          <w:p w14:paraId="6C35F177">
            <w:pPr>
              <w:keepNext w:val="0"/>
              <w:keepLines w:val="0"/>
              <w:pageBreakBefore w:val="0"/>
              <w:widowControl w:val="0"/>
              <w:tabs>
                <w:tab w:val="left" w:pos="-1440"/>
                <w:tab w:val="left" w:pos="601"/>
              </w:tabs>
              <w:kinsoku/>
              <w:wordWrap/>
              <w:overflowPunct/>
              <w:topLinePunct w:val="0"/>
              <w:autoSpaceDE/>
              <w:autoSpaceDN/>
              <w:bidi w:val="0"/>
              <w:adjustRightInd/>
              <w:snapToGrid/>
              <w:spacing w:line="360" w:lineRule="auto"/>
              <w:textAlignment w:val="auto"/>
              <w:rPr>
                <w:rFonts w:hint="eastAsia" w:ascii="宋体" w:hAnsi="宋体" w:eastAsia="宋体" w:cs="宋体"/>
                <w:color w:val="auto"/>
                <w:kern w:val="2"/>
                <w:sz w:val="21"/>
                <w:szCs w:val="21"/>
                <w:highlight w:val="none"/>
                <w:lang w:eastAsia="zh-CN"/>
              </w:rPr>
            </w:pPr>
            <w:r>
              <w:rPr>
                <w:rFonts w:hint="eastAsia" w:ascii="宋体" w:hAnsi="宋体" w:eastAsia="宋体" w:cs="宋体"/>
                <w:color w:val="auto"/>
                <w:kern w:val="2"/>
                <w:sz w:val="21"/>
                <w:szCs w:val="21"/>
                <w:highlight w:val="none"/>
                <w:lang w:eastAsia="zh-CN"/>
              </w:rPr>
              <w:t>6．清洗消毒器操作规范：有每日设备运行前检查记录；清洗物品装载符合规范，精密器械及锐利器械</w:t>
            </w:r>
            <w:r>
              <w:rPr>
                <w:rFonts w:hint="eastAsia" w:ascii="宋体" w:hAnsi="宋体" w:eastAsia="宋体" w:cs="宋体"/>
                <w:color w:val="auto"/>
                <w:kern w:val="2"/>
                <w:sz w:val="21"/>
                <w:szCs w:val="21"/>
                <w:highlight w:val="none"/>
                <w:lang w:val="en-US" w:eastAsia="zh-CN"/>
              </w:rPr>
              <w:t>需</w:t>
            </w:r>
            <w:r>
              <w:rPr>
                <w:rFonts w:hint="eastAsia" w:ascii="宋体" w:hAnsi="宋体" w:eastAsia="宋体" w:cs="宋体"/>
                <w:color w:val="auto"/>
                <w:kern w:val="2"/>
                <w:sz w:val="21"/>
                <w:szCs w:val="21"/>
                <w:highlight w:val="none"/>
                <w:lang w:eastAsia="zh-CN"/>
              </w:rPr>
              <w:t>使用固定保护装置；设备运行程序设置符合要求，有设备物理参数的确认。（2分）</w:t>
            </w:r>
          </w:p>
          <w:p w14:paraId="3C0BE49B">
            <w:pPr>
              <w:keepNext w:val="0"/>
              <w:keepLines w:val="0"/>
              <w:pageBreakBefore w:val="0"/>
              <w:widowControl w:val="0"/>
              <w:tabs>
                <w:tab w:val="left" w:pos="-1440"/>
                <w:tab w:val="left" w:pos="601"/>
              </w:tabs>
              <w:kinsoku/>
              <w:wordWrap/>
              <w:overflowPunct/>
              <w:topLinePunct w:val="0"/>
              <w:autoSpaceDE/>
              <w:autoSpaceDN/>
              <w:bidi w:val="0"/>
              <w:adjustRightInd/>
              <w:snapToGrid/>
              <w:spacing w:line="360" w:lineRule="auto"/>
              <w:textAlignment w:val="auto"/>
              <w:rPr>
                <w:rFonts w:hint="eastAsia" w:ascii="宋体" w:hAnsi="宋体" w:eastAsia="宋体" w:cs="宋体"/>
                <w:color w:val="auto"/>
                <w:kern w:val="2"/>
                <w:sz w:val="21"/>
                <w:szCs w:val="21"/>
                <w:highlight w:val="none"/>
                <w:lang w:eastAsia="zh-CN"/>
              </w:rPr>
            </w:pPr>
            <w:r>
              <w:rPr>
                <w:rFonts w:hint="eastAsia" w:ascii="宋体" w:hAnsi="宋体" w:eastAsia="宋体" w:cs="宋体"/>
                <w:color w:val="auto"/>
                <w:kern w:val="2"/>
                <w:sz w:val="21"/>
                <w:szCs w:val="21"/>
                <w:highlight w:val="none"/>
                <w:lang w:eastAsia="zh-CN"/>
              </w:rPr>
              <w:t>质量监测：</w:t>
            </w:r>
          </w:p>
          <w:p w14:paraId="1A44EE55">
            <w:pPr>
              <w:keepNext w:val="0"/>
              <w:keepLines w:val="0"/>
              <w:pageBreakBefore w:val="0"/>
              <w:widowControl w:val="0"/>
              <w:tabs>
                <w:tab w:val="left" w:pos="-1440"/>
                <w:tab w:val="left" w:pos="601"/>
              </w:tabs>
              <w:kinsoku/>
              <w:wordWrap/>
              <w:overflowPunct/>
              <w:topLinePunct w:val="0"/>
              <w:autoSpaceDE/>
              <w:autoSpaceDN/>
              <w:bidi w:val="0"/>
              <w:adjustRightInd/>
              <w:snapToGrid/>
              <w:spacing w:line="360" w:lineRule="auto"/>
              <w:textAlignment w:val="auto"/>
              <w:rPr>
                <w:rFonts w:hint="eastAsia" w:ascii="宋体" w:hAnsi="宋体" w:eastAsia="宋体" w:cs="宋体"/>
                <w:color w:val="auto"/>
                <w:kern w:val="2"/>
                <w:sz w:val="21"/>
                <w:szCs w:val="21"/>
                <w:highlight w:val="none"/>
                <w:lang w:eastAsia="zh-CN"/>
              </w:rPr>
            </w:pPr>
            <w:r>
              <w:rPr>
                <w:rFonts w:hint="eastAsia" w:ascii="宋体" w:hAnsi="宋体" w:eastAsia="宋体" w:cs="宋体"/>
                <w:color w:val="auto"/>
                <w:kern w:val="2"/>
                <w:sz w:val="21"/>
                <w:szCs w:val="21"/>
                <w:highlight w:val="none"/>
                <w:lang w:eastAsia="zh-CN"/>
              </w:rPr>
              <w:t>7．有器械、器具和物品清洗质量的日常监测、定期抽查记录（3-5个待灭菌包内的清洗质量）及清洗效果评价。（2分）</w:t>
            </w:r>
          </w:p>
          <w:p w14:paraId="10EE2F6A">
            <w:pPr>
              <w:keepNext w:val="0"/>
              <w:keepLines w:val="0"/>
              <w:pageBreakBefore w:val="0"/>
              <w:widowControl w:val="0"/>
              <w:tabs>
                <w:tab w:val="left" w:pos="-1440"/>
                <w:tab w:val="left" w:pos="601"/>
              </w:tabs>
              <w:kinsoku/>
              <w:wordWrap/>
              <w:overflowPunct/>
              <w:topLinePunct w:val="0"/>
              <w:autoSpaceDE/>
              <w:autoSpaceDN/>
              <w:bidi w:val="0"/>
              <w:adjustRightInd/>
              <w:snapToGrid/>
              <w:spacing w:line="360" w:lineRule="auto"/>
              <w:textAlignment w:val="auto"/>
              <w:rPr>
                <w:rFonts w:hint="eastAsia" w:ascii="宋体" w:hAnsi="宋体" w:eastAsia="宋体" w:cs="宋体"/>
                <w:color w:val="auto"/>
                <w:kern w:val="2"/>
                <w:sz w:val="21"/>
                <w:szCs w:val="21"/>
                <w:highlight w:val="none"/>
                <w:lang w:eastAsia="zh-CN"/>
              </w:rPr>
            </w:pPr>
            <w:r>
              <w:rPr>
                <w:rFonts w:hint="eastAsia" w:ascii="宋体" w:hAnsi="宋体" w:eastAsia="宋体" w:cs="宋体"/>
                <w:color w:val="auto"/>
                <w:kern w:val="2"/>
                <w:sz w:val="21"/>
                <w:szCs w:val="21"/>
                <w:highlight w:val="none"/>
                <w:lang w:eastAsia="zh-CN"/>
              </w:rPr>
              <w:t>8．清洗消毒器及质量的监测：有日常监测和定期监测（可每年采用清洗效果测试指示物进行效果的监测）。（2分）</w:t>
            </w:r>
          </w:p>
          <w:p w14:paraId="349C36F6">
            <w:pPr>
              <w:keepNext w:val="0"/>
              <w:keepLines w:val="0"/>
              <w:pageBreakBefore w:val="0"/>
              <w:widowControl w:val="0"/>
              <w:tabs>
                <w:tab w:val="left" w:pos="-1440"/>
                <w:tab w:val="left" w:pos="601"/>
              </w:tabs>
              <w:kinsoku/>
              <w:wordWrap/>
              <w:overflowPunct/>
              <w:topLinePunct w:val="0"/>
              <w:autoSpaceDE/>
              <w:autoSpaceDN/>
              <w:bidi w:val="0"/>
              <w:adjustRightInd/>
              <w:snapToGrid/>
              <w:spacing w:line="360" w:lineRule="auto"/>
              <w:textAlignment w:val="auto"/>
              <w:rPr>
                <w:rFonts w:hint="eastAsia" w:ascii="宋体" w:hAnsi="宋体" w:eastAsia="宋体" w:cs="宋体"/>
                <w:color w:val="auto"/>
                <w:kern w:val="2"/>
                <w:sz w:val="21"/>
                <w:szCs w:val="21"/>
                <w:highlight w:val="none"/>
              </w:rPr>
            </w:pPr>
            <w:r>
              <w:rPr>
                <w:rFonts w:hint="eastAsia" w:ascii="宋体" w:hAnsi="宋体" w:eastAsia="宋体" w:cs="宋体"/>
                <w:color w:val="auto"/>
                <w:kern w:val="2"/>
                <w:sz w:val="21"/>
                <w:szCs w:val="21"/>
                <w:highlight w:val="none"/>
                <w:lang w:eastAsia="zh-CN"/>
              </w:rPr>
              <w:t>9．每季度应对消毒后直接使用物品进行监测，每次监测3-5件代表性物品，并有记录。</w:t>
            </w:r>
            <w:r>
              <w:rPr>
                <w:rFonts w:hint="eastAsia" w:ascii="宋体" w:hAnsi="宋体" w:eastAsia="宋体" w:cs="宋体"/>
                <w:color w:val="auto"/>
                <w:kern w:val="2"/>
                <w:sz w:val="21"/>
                <w:szCs w:val="21"/>
                <w:highlight w:val="none"/>
              </w:rPr>
              <w:t>（2分）</w:t>
            </w:r>
          </w:p>
        </w:tc>
        <w:tc>
          <w:tcPr>
            <w:tcW w:w="1020" w:type="dxa"/>
            <w:noWrap w:val="0"/>
            <w:vAlign w:val="center"/>
          </w:tcPr>
          <w:p w14:paraId="1C5C31E7">
            <w:pPr>
              <w:keepNext w:val="0"/>
              <w:keepLines w:val="0"/>
              <w:pageBreakBefore w:val="0"/>
              <w:widowControl w:val="0"/>
              <w:tabs>
                <w:tab w:val="left" w:pos="-1440"/>
                <w:tab w:val="left" w:pos="601"/>
              </w:tabs>
              <w:kinsoku/>
              <w:wordWrap/>
              <w:overflowPunct/>
              <w:topLinePunct w:val="0"/>
              <w:autoSpaceDE/>
              <w:autoSpaceDN/>
              <w:bidi w:val="0"/>
              <w:adjustRightInd/>
              <w:snapToGrid/>
              <w:spacing w:line="360" w:lineRule="auto"/>
              <w:jc w:val="center"/>
              <w:textAlignment w:val="auto"/>
              <w:rPr>
                <w:rFonts w:hint="eastAsia" w:ascii="宋体" w:hAnsi="宋体" w:eastAsia="宋体" w:cs="宋体"/>
                <w:color w:val="auto"/>
                <w:kern w:val="2"/>
                <w:sz w:val="21"/>
                <w:szCs w:val="21"/>
                <w:highlight w:val="none"/>
                <w:lang w:val="en-US" w:eastAsia="zh-CN"/>
              </w:rPr>
            </w:pPr>
            <w:r>
              <w:rPr>
                <w:rFonts w:hint="eastAsia" w:ascii="宋体" w:hAnsi="宋体" w:eastAsia="宋体" w:cs="宋体"/>
                <w:color w:val="auto"/>
                <w:kern w:val="2"/>
                <w:sz w:val="21"/>
                <w:szCs w:val="21"/>
                <w:highlight w:val="none"/>
              </w:rPr>
              <w:t>20</w:t>
            </w:r>
            <w:r>
              <w:rPr>
                <w:rFonts w:hint="eastAsia" w:ascii="宋体" w:hAnsi="宋体" w:eastAsia="宋体" w:cs="宋体"/>
                <w:color w:val="auto"/>
                <w:kern w:val="2"/>
                <w:sz w:val="21"/>
                <w:szCs w:val="21"/>
                <w:highlight w:val="none"/>
                <w:lang w:val="en-US" w:eastAsia="zh-CN"/>
              </w:rPr>
              <w:t>分</w:t>
            </w:r>
          </w:p>
        </w:tc>
        <w:tc>
          <w:tcPr>
            <w:tcW w:w="2066" w:type="dxa"/>
            <w:noWrap w:val="0"/>
            <w:vAlign w:val="center"/>
          </w:tcPr>
          <w:p w14:paraId="3F394E85">
            <w:pPr>
              <w:keepNext w:val="0"/>
              <w:keepLines w:val="0"/>
              <w:pageBreakBefore w:val="0"/>
              <w:widowControl w:val="0"/>
              <w:tabs>
                <w:tab w:val="left" w:pos="-1440"/>
                <w:tab w:val="left" w:pos="601"/>
              </w:tabs>
              <w:kinsoku/>
              <w:wordWrap/>
              <w:overflowPunct/>
              <w:topLinePunct w:val="0"/>
              <w:autoSpaceDE/>
              <w:autoSpaceDN/>
              <w:bidi w:val="0"/>
              <w:adjustRightInd/>
              <w:snapToGrid/>
              <w:spacing w:line="360" w:lineRule="auto"/>
              <w:textAlignment w:val="auto"/>
              <w:rPr>
                <w:rFonts w:hint="eastAsia" w:ascii="宋体" w:hAnsi="宋体" w:eastAsia="宋体" w:cs="宋体"/>
                <w:color w:val="auto"/>
                <w:kern w:val="2"/>
                <w:sz w:val="21"/>
                <w:szCs w:val="21"/>
                <w:highlight w:val="none"/>
                <w:lang w:eastAsia="zh-CN"/>
              </w:rPr>
            </w:pPr>
            <w:r>
              <w:rPr>
                <w:rFonts w:hint="eastAsia" w:ascii="宋体" w:hAnsi="宋体" w:eastAsia="宋体" w:cs="宋体"/>
                <w:color w:val="auto"/>
                <w:kern w:val="2"/>
                <w:sz w:val="21"/>
                <w:szCs w:val="21"/>
                <w:highlight w:val="none"/>
                <w:lang w:eastAsia="zh-CN"/>
              </w:rPr>
              <w:t>1.根据使用科室反馈情况进行评分。临床科室反映质量问题，</w:t>
            </w:r>
            <w:r>
              <w:rPr>
                <w:rFonts w:hint="eastAsia" w:ascii="宋体" w:hAnsi="宋体" w:eastAsia="宋体" w:cs="宋体"/>
                <w:color w:val="auto"/>
                <w:kern w:val="2"/>
                <w:sz w:val="21"/>
                <w:szCs w:val="21"/>
                <w:highlight w:val="none"/>
                <w:lang w:val="en-US" w:eastAsia="zh-CN"/>
              </w:rPr>
              <w:t>经查属实，</w:t>
            </w:r>
            <w:r>
              <w:rPr>
                <w:rFonts w:hint="eastAsia" w:ascii="宋体" w:hAnsi="宋体" w:eastAsia="宋体" w:cs="宋体"/>
                <w:color w:val="auto"/>
                <w:kern w:val="2"/>
                <w:sz w:val="21"/>
                <w:szCs w:val="21"/>
                <w:highlight w:val="none"/>
                <w:lang w:eastAsia="zh-CN"/>
              </w:rPr>
              <w:t>扣0.2分/条。</w:t>
            </w:r>
          </w:p>
          <w:p w14:paraId="7B5A0C73">
            <w:pPr>
              <w:keepNext w:val="0"/>
              <w:keepLines w:val="0"/>
              <w:pageBreakBefore w:val="0"/>
              <w:widowControl w:val="0"/>
              <w:tabs>
                <w:tab w:val="left" w:pos="-1440"/>
                <w:tab w:val="left" w:pos="601"/>
              </w:tabs>
              <w:kinsoku/>
              <w:wordWrap/>
              <w:overflowPunct/>
              <w:topLinePunct w:val="0"/>
              <w:autoSpaceDE/>
              <w:autoSpaceDN/>
              <w:bidi w:val="0"/>
              <w:adjustRightInd/>
              <w:snapToGrid/>
              <w:spacing w:line="360" w:lineRule="auto"/>
              <w:textAlignment w:val="auto"/>
              <w:rPr>
                <w:rFonts w:hint="eastAsia" w:ascii="宋体" w:hAnsi="宋体" w:eastAsia="宋体" w:cs="宋体"/>
                <w:color w:val="auto"/>
                <w:kern w:val="2"/>
                <w:sz w:val="21"/>
                <w:szCs w:val="21"/>
                <w:highlight w:val="none"/>
              </w:rPr>
            </w:pPr>
            <w:r>
              <w:rPr>
                <w:rFonts w:hint="eastAsia" w:ascii="宋体" w:hAnsi="宋体" w:eastAsia="宋体" w:cs="宋体"/>
                <w:color w:val="auto"/>
                <w:kern w:val="2"/>
                <w:sz w:val="21"/>
                <w:szCs w:val="21"/>
                <w:highlight w:val="none"/>
                <w:lang w:eastAsia="zh-CN"/>
              </w:rPr>
              <w:t>2.根据每月现场质控检查进行评分。</w:t>
            </w:r>
            <w:r>
              <w:rPr>
                <w:rFonts w:hint="eastAsia" w:ascii="宋体" w:hAnsi="宋体" w:eastAsia="宋体" w:cs="宋体"/>
                <w:color w:val="auto"/>
                <w:kern w:val="2"/>
                <w:sz w:val="21"/>
                <w:szCs w:val="21"/>
                <w:highlight w:val="none"/>
                <w:lang w:val="en-US" w:eastAsia="zh-CN"/>
              </w:rPr>
              <w:t>每发现一条存在问题按所在分值的5%扣分。</w:t>
            </w:r>
          </w:p>
        </w:tc>
        <w:tc>
          <w:tcPr>
            <w:tcW w:w="668" w:type="dxa"/>
            <w:noWrap w:val="0"/>
            <w:vAlign w:val="center"/>
          </w:tcPr>
          <w:p w14:paraId="6F91CD6D">
            <w:pPr>
              <w:keepNext w:val="0"/>
              <w:keepLines w:val="0"/>
              <w:pageBreakBefore w:val="0"/>
              <w:widowControl w:val="0"/>
              <w:tabs>
                <w:tab w:val="left" w:pos="-1440"/>
                <w:tab w:val="left" w:pos="601"/>
              </w:tabs>
              <w:kinsoku/>
              <w:wordWrap/>
              <w:overflowPunct/>
              <w:topLinePunct w:val="0"/>
              <w:autoSpaceDE/>
              <w:autoSpaceDN/>
              <w:bidi w:val="0"/>
              <w:adjustRightInd/>
              <w:snapToGrid/>
              <w:spacing w:line="360" w:lineRule="auto"/>
              <w:textAlignment w:val="auto"/>
              <w:rPr>
                <w:rFonts w:hint="eastAsia" w:ascii="宋体" w:hAnsi="宋体" w:eastAsia="宋体" w:cs="宋体"/>
                <w:color w:val="auto"/>
                <w:kern w:val="2"/>
                <w:sz w:val="21"/>
                <w:szCs w:val="21"/>
                <w:highlight w:val="none"/>
              </w:rPr>
            </w:pPr>
          </w:p>
        </w:tc>
      </w:tr>
      <w:tr w14:paraId="210FD65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03" w:type="dxa"/>
            <w:noWrap w:val="0"/>
            <w:vAlign w:val="center"/>
          </w:tcPr>
          <w:p w14:paraId="2A13C732">
            <w:pPr>
              <w:keepNext w:val="0"/>
              <w:keepLines w:val="0"/>
              <w:pageBreakBefore w:val="0"/>
              <w:widowControl w:val="0"/>
              <w:tabs>
                <w:tab w:val="left" w:pos="-1440"/>
                <w:tab w:val="left" w:pos="601"/>
              </w:tabs>
              <w:kinsoku/>
              <w:wordWrap/>
              <w:overflowPunct/>
              <w:topLinePunct w:val="0"/>
              <w:autoSpaceDE/>
              <w:autoSpaceDN/>
              <w:bidi w:val="0"/>
              <w:adjustRightInd/>
              <w:snapToGrid/>
              <w:spacing w:line="360" w:lineRule="auto"/>
              <w:jc w:val="center"/>
              <w:textAlignment w:val="auto"/>
              <w:rPr>
                <w:rFonts w:hint="eastAsia" w:ascii="宋体" w:hAnsi="宋体" w:eastAsia="宋体" w:cs="宋体"/>
                <w:color w:val="auto"/>
                <w:kern w:val="2"/>
                <w:sz w:val="21"/>
                <w:szCs w:val="21"/>
                <w:highlight w:val="none"/>
              </w:rPr>
            </w:pPr>
            <w:r>
              <w:rPr>
                <w:rFonts w:hint="eastAsia" w:ascii="宋体" w:hAnsi="宋体" w:eastAsia="宋体" w:cs="宋体"/>
                <w:color w:val="auto"/>
                <w:kern w:val="2"/>
                <w:sz w:val="21"/>
                <w:szCs w:val="21"/>
                <w:highlight w:val="none"/>
              </w:rPr>
              <w:t>6</w:t>
            </w:r>
          </w:p>
        </w:tc>
        <w:tc>
          <w:tcPr>
            <w:tcW w:w="1827" w:type="dxa"/>
            <w:noWrap w:val="0"/>
            <w:vAlign w:val="center"/>
          </w:tcPr>
          <w:p w14:paraId="682597C3">
            <w:pPr>
              <w:keepNext w:val="0"/>
              <w:keepLines w:val="0"/>
              <w:pageBreakBefore w:val="0"/>
              <w:widowControl w:val="0"/>
              <w:tabs>
                <w:tab w:val="left" w:pos="-1440"/>
                <w:tab w:val="left" w:pos="601"/>
              </w:tabs>
              <w:kinsoku/>
              <w:wordWrap/>
              <w:overflowPunct/>
              <w:topLinePunct w:val="0"/>
              <w:autoSpaceDE/>
              <w:autoSpaceDN/>
              <w:bidi w:val="0"/>
              <w:adjustRightInd/>
              <w:snapToGrid/>
              <w:spacing w:line="360" w:lineRule="auto"/>
              <w:jc w:val="center"/>
              <w:textAlignment w:val="auto"/>
              <w:rPr>
                <w:rFonts w:hint="eastAsia" w:ascii="宋体" w:hAnsi="宋体" w:eastAsia="宋体" w:cs="宋体"/>
                <w:color w:val="auto"/>
                <w:kern w:val="2"/>
                <w:sz w:val="21"/>
                <w:szCs w:val="21"/>
                <w:highlight w:val="none"/>
              </w:rPr>
            </w:pPr>
            <w:r>
              <w:rPr>
                <w:rFonts w:hint="eastAsia" w:ascii="宋体" w:hAnsi="宋体" w:eastAsia="宋体" w:cs="宋体"/>
                <w:color w:val="auto"/>
                <w:kern w:val="2"/>
                <w:sz w:val="21"/>
                <w:szCs w:val="21"/>
                <w:highlight w:val="none"/>
              </w:rPr>
              <w:t>包装合格率</w:t>
            </w:r>
          </w:p>
        </w:tc>
        <w:tc>
          <w:tcPr>
            <w:tcW w:w="2770" w:type="dxa"/>
            <w:noWrap w:val="0"/>
            <w:vAlign w:val="center"/>
          </w:tcPr>
          <w:p w14:paraId="44F433E5">
            <w:pPr>
              <w:keepNext w:val="0"/>
              <w:keepLines w:val="0"/>
              <w:pageBreakBefore w:val="0"/>
              <w:widowControl w:val="0"/>
              <w:tabs>
                <w:tab w:val="left" w:pos="-1440"/>
                <w:tab w:val="left" w:pos="601"/>
              </w:tabs>
              <w:kinsoku/>
              <w:wordWrap/>
              <w:overflowPunct/>
              <w:topLinePunct w:val="0"/>
              <w:autoSpaceDE/>
              <w:autoSpaceDN/>
              <w:bidi w:val="0"/>
              <w:adjustRightInd/>
              <w:snapToGrid/>
              <w:spacing w:line="360" w:lineRule="auto"/>
              <w:textAlignment w:val="auto"/>
              <w:rPr>
                <w:rFonts w:hint="eastAsia" w:ascii="宋体" w:hAnsi="宋体" w:eastAsia="宋体" w:cs="宋体"/>
                <w:color w:val="auto"/>
                <w:kern w:val="2"/>
                <w:sz w:val="21"/>
                <w:szCs w:val="21"/>
                <w:highlight w:val="none"/>
                <w:lang w:eastAsia="zh-CN"/>
              </w:rPr>
            </w:pPr>
            <w:r>
              <w:rPr>
                <w:rFonts w:hint="eastAsia" w:ascii="宋体" w:hAnsi="宋体" w:eastAsia="宋体" w:cs="宋体"/>
                <w:color w:val="auto"/>
                <w:kern w:val="2"/>
                <w:sz w:val="21"/>
                <w:szCs w:val="21"/>
                <w:highlight w:val="none"/>
                <w:lang w:eastAsia="zh-CN"/>
              </w:rPr>
              <w:t>1．每月包装合格率质量指标应达到99%以上。（5分）</w:t>
            </w:r>
          </w:p>
          <w:p w14:paraId="789338BF">
            <w:pPr>
              <w:keepNext w:val="0"/>
              <w:keepLines w:val="0"/>
              <w:pageBreakBefore w:val="0"/>
              <w:widowControl w:val="0"/>
              <w:tabs>
                <w:tab w:val="left" w:pos="-1440"/>
                <w:tab w:val="left" w:pos="601"/>
              </w:tabs>
              <w:kinsoku/>
              <w:wordWrap/>
              <w:overflowPunct/>
              <w:topLinePunct w:val="0"/>
              <w:autoSpaceDE/>
              <w:autoSpaceDN/>
              <w:bidi w:val="0"/>
              <w:adjustRightInd/>
              <w:snapToGrid/>
              <w:spacing w:line="360" w:lineRule="auto"/>
              <w:textAlignment w:val="auto"/>
              <w:rPr>
                <w:rFonts w:hint="eastAsia" w:ascii="宋体" w:hAnsi="宋体" w:eastAsia="宋体" w:cs="宋体"/>
                <w:color w:val="auto"/>
                <w:kern w:val="2"/>
                <w:sz w:val="21"/>
                <w:szCs w:val="21"/>
                <w:highlight w:val="none"/>
                <w:lang w:eastAsia="zh-CN"/>
              </w:rPr>
            </w:pPr>
            <w:r>
              <w:rPr>
                <w:rFonts w:hint="eastAsia" w:ascii="宋体" w:hAnsi="宋体" w:eastAsia="宋体" w:cs="宋体"/>
                <w:color w:val="auto"/>
                <w:kern w:val="2"/>
                <w:sz w:val="21"/>
                <w:szCs w:val="21"/>
                <w:highlight w:val="none"/>
                <w:lang w:eastAsia="zh-CN"/>
              </w:rPr>
              <w:t>2．包装灭菌区温湿度、环境达到要求，工作人员手卫生及职业防护达标。（1分）</w:t>
            </w:r>
          </w:p>
          <w:p w14:paraId="602F91C3">
            <w:pPr>
              <w:keepNext w:val="0"/>
              <w:keepLines w:val="0"/>
              <w:pageBreakBefore w:val="0"/>
              <w:widowControl w:val="0"/>
              <w:tabs>
                <w:tab w:val="left" w:pos="-1440"/>
                <w:tab w:val="left" w:pos="601"/>
              </w:tabs>
              <w:kinsoku/>
              <w:wordWrap/>
              <w:overflowPunct/>
              <w:topLinePunct w:val="0"/>
              <w:autoSpaceDE/>
              <w:autoSpaceDN/>
              <w:bidi w:val="0"/>
              <w:adjustRightInd/>
              <w:snapToGrid/>
              <w:spacing w:line="360" w:lineRule="auto"/>
              <w:textAlignment w:val="auto"/>
              <w:rPr>
                <w:rFonts w:hint="eastAsia" w:ascii="宋体" w:hAnsi="宋体" w:eastAsia="宋体" w:cs="宋体"/>
                <w:bCs/>
                <w:color w:val="auto"/>
                <w:kern w:val="2"/>
                <w:sz w:val="21"/>
                <w:szCs w:val="21"/>
                <w:highlight w:val="none"/>
                <w:lang w:eastAsia="zh-CN"/>
              </w:rPr>
            </w:pPr>
            <w:r>
              <w:rPr>
                <w:rFonts w:hint="eastAsia" w:ascii="宋体" w:hAnsi="宋体" w:eastAsia="宋体" w:cs="宋体"/>
                <w:color w:val="auto"/>
                <w:kern w:val="2"/>
                <w:sz w:val="21"/>
                <w:szCs w:val="21"/>
                <w:highlight w:val="none"/>
                <w:lang w:eastAsia="zh-CN"/>
              </w:rPr>
              <w:t>3．包装前应采用目测或</w:t>
            </w:r>
            <w:r>
              <w:rPr>
                <w:rFonts w:hint="eastAsia" w:ascii="宋体" w:hAnsi="宋体" w:eastAsia="宋体" w:cs="宋体"/>
                <w:bCs/>
                <w:color w:val="auto"/>
                <w:kern w:val="2"/>
                <w:sz w:val="21"/>
                <w:szCs w:val="21"/>
                <w:highlight w:val="none"/>
                <w:lang w:val="en-US" w:eastAsia="zh-CN"/>
              </w:rPr>
              <w:t>者</w:t>
            </w:r>
            <w:r>
              <w:rPr>
                <w:rFonts w:hint="eastAsia" w:ascii="宋体" w:hAnsi="宋体" w:eastAsia="宋体" w:cs="宋体"/>
                <w:color w:val="auto"/>
                <w:kern w:val="2"/>
                <w:sz w:val="21"/>
                <w:szCs w:val="21"/>
                <w:highlight w:val="none"/>
                <w:lang w:eastAsia="zh-CN"/>
              </w:rPr>
              <w:t>放大镜对器械检查清洗质量，检</w:t>
            </w:r>
            <w:r>
              <w:rPr>
                <w:rFonts w:hint="eastAsia" w:ascii="宋体" w:hAnsi="宋体" w:eastAsia="宋体" w:cs="宋体"/>
                <w:bCs/>
                <w:color w:val="auto"/>
                <w:kern w:val="2"/>
                <w:sz w:val="21"/>
                <w:szCs w:val="21"/>
                <w:highlight w:val="none"/>
                <w:lang w:eastAsia="zh-CN"/>
              </w:rPr>
              <w:t>查功能完好情况，并做好器械的</w:t>
            </w:r>
            <w:r>
              <w:rPr>
                <w:rFonts w:hint="eastAsia" w:ascii="宋体" w:hAnsi="宋体" w:eastAsia="宋体" w:cs="宋体"/>
                <w:color w:val="auto"/>
                <w:kern w:val="2"/>
                <w:sz w:val="21"/>
                <w:szCs w:val="21"/>
                <w:highlight w:val="none"/>
                <w:lang w:eastAsia="zh-CN"/>
              </w:rPr>
              <w:t>保养</w:t>
            </w:r>
            <w:r>
              <w:rPr>
                <w:rFonts w:hint="eastAsia" w:ascii="宋体" w:hAnsi="宋体" w:eastAsia="宋体" w:cs="宋体"/>
                <w:bCs/>
                <w:color w:val="auto"/>
                <w:kern w:val="2"/>
                <w:sz w:val="21"/>
                <w:szCs w:val="21"/>
                <w:highlight w:val="none"/>
                <w:lang w:eastAsia="zh-CN"/>
              </w:rPr>
              <w:t>。</w:t>
            </w:r>
            <w:r>
              <w:rPr>
                <w:rFonts w:hint="eastAsia" w:ascii="宋体" w:hAnsi="宋体" w:eastAsia="宋体" w:cs="宋体"/>
                <w:color w:val="auto"/>
                <w:kern w:val="2"/>
                <w:sz w:val="21"/>
                <w:szCs w:val="21"/>
                <w:highlight w:val="none"/>
                <w:lang w:eastAsia="zh-CN"/>
              </w:rPr>
              <w:t>（2分）</w:t>
            </w:r>
          </w:p>
          <w:p w14:paraId="7B77DC2E">
            <w:pPr>
              <w:keepNext w:val="0"/>
              <w:keepLines w:val="0"/>
              <w:pageBreakBefore w:val="0"/>
              <w:widowControl w:val="0"/>
              <w:tabs>
                <w:tab w:val="left" w:pos="-1440"/>
                <w:tab w:val="left" w:pos="601"/>
              </w:tabs>
              <w:kinsoku/>
              <w:wordWrap/>
              <w:overflowPunct/>
              <w:topLinePunct w:val="0"/>
              <w:autoSpaceDE/>
              <w:autoSpaceDN/>
              <w:bidi w:val="0"/>
              <w:adjustRightInd/>
              <w:snapToGrid/>
              <w:spacing w:before="25" w:after="25" w:line="360" w:lineRule="auto"/>
              <w:jc w:val="left"/>
              <w:textAlignment w:val="auto"/>
              <w:rPr>
                <w:rFonts w:hint="eastAsia" w:ascii="宋体" w:hAnsi="宋体" w:eastAsia="宋体" w:cs="宋体"/>
                <w:bCs w:val="0"/>
                <w:color w:val="auto"/>
                <w:spacing w:val="0"/>
                <w:kern w:val="2"/>
                <w:sz w:val="21"/>
                <w:szCs w:val="21"/>
                <w:highlight w:val="none"/>
                <w:lang w:val="en-US" w:eastAsia="zh-CN" w:bidi="ar-SA"/>
              </w:rPr>
            </w:pPr>
            <w:r>
              <w:rPr>
                <w:rFonts w:hint="eastAsia" w:ascii="宋体" w:hAnsi="宋体" w:eastAsia="宋体" w:cs="宋体"/>
                <w:bCs w:val="0"/>
                <w:color w:val="auto"/>
                <w:spacing w:val="0"/>
                <w:kern w:val="2"/>
                <w:sz w:val="21"/>
                <w:szCs w:val="21"/>
                <w:highlight w:val="none"/>
                <w:lang w:val="en-US" w:eastAsia="zh-CN" w:bidi="ar-SA"/>
              </w:rPr>
              <w:t>4．包装材料符合GB/T19633的要求，包装前器械放置合理，包装方法正确，无破包、脏包。器械包重量不宜超过7KG，敷料包重量</w:t>
            </w:r>
            <w:r>
              <w:rPr>
                <w:rFonts w:hint="eastAsia" w:ascii="宋体" w:hAnsi="宋体" w:eastAsia="宋体" w:cs="宋体"/>
                <w:color w:val="auto"/>
                <w:kern w:val="2"/>
                <w:sz w:val="21"/>
                <w:szCs w:val="21"/>
                <w:highlight w:val="none"/>
              </w:rPr>
              <w:t>2.37kg≤单包重量≤</w:t>
            </w:r>
            <w:r>
              <w:rPr>
                <w:rFonts w:hint="eastAsia" w:ascii="宋体" w:hAnsi="宋体" w:eastAsia="宋体" w:cs="宋体"/>
                <w:color w:val="auto"/>
                <w:kern w:val="2"/>
                <w:sz w:val="21"/>
                <w:szCs w:val="21"/>
                <w:highlight w:val="none"/>
                <w:lang w:val="en-US" w:eastAsia="zh-CN"/>
              </w:rPr>
              <w:t>5</w:t>
            </w:r>
            <w:r>
              <w:rPr>
                <w:rFonts w:hint="eastAsia" w:ascii="宋体" w:hAnsi="宋体" w:eastAsia="宋体" w:cs="宋体"/>
                <w:color w:val="auto"/>
                <w:kern w:val="2"/>
                <w:sz w:val="21"/>
                <w:szCs w:val="21"/>
                <w:highlight w:val="none"/>
              </w:rPr>
              <w:t>kg</w:t>
            </w:r>
            <w:r>
              <w:rPr>
                <w:rFonts w:hint="eastAsia" w:ascii="宋体" w:hAnsi="宋体" w:eastAsia="宋体" w:cs="宋体"/>
                <w:bCs w:val="0"/>
                <w:color w:val="auto"/>
                <w:spacing w:val="0"/>
                <w:kern w:val="2"/>
                <w:sz w:val="21"/>
                <w:szCs w:val="21"/>
                <w:highlight w:val="none"/>
                <w:lang w:val="en-US" w:eastAsia="zh-CN" w:bidi="ar-SA"/>
              </w:rPr>
              <w:t>，体积不超过30cm×30cm×50cm。</w:t>
            </w:r>
            <w:r>
              <w:rPr>
                <w:rFonts w:hint="eastAsia" w:ascii="宋体" w:hAnsi="宋体" w:eastAsia="宋体" w:cs="宋体"/>
                <w:bCs/>
                <w:color w:val="auto"/>
                <w:spacing w:val="10"/>
                <w:kern w:val="0"/>
                <w:sz w:val="21"/>
                <w:szCs w:val="21"/>
                <w:highlight w:val="none"/>
                <w:lang w:val="en-US" w:eastAsia="zh-CN" w:bidi="ar-SA"/>
              </w:rPr>
              <w:t>（1分）</w:t>
            </w:r>
          </w:p>
          <w:p w14:paraId="6F4CD963">
            <w:pPr>
              <w:keepNext w:val="0"/>
              <w:keepLines w:val="0"/>
              <w:pageBreakBefore w:val="0"/>
              <w:widowControl w:val="0"/>
              <w:tabs>
                <w:tab w:val="left" w:pos="-1440"/>
                <w:tab w:val="left" w:pos="601"/>
              </w:tabs>
              <w:kinsoku/>
              <w:wordWrap/>
              <w:overflowPunct/>
              <w:topLinePunct w:val="0"/>
              <w:autoSpaceDE/>
              <w:autoSpaceDN/>
              <w:bidi w:val="0"/>
              <w:adjustRightInd/>
              <w:snapToGrid/>
              <w:spacing w:before="25" w:after="25" w:line="360" w:lineRule="auto"/>
              <w:jc w:val="left"/>
              <w:textAlignment w:val="auto"/>
              <w:rPr>
                <w:rFonts w:hint="eastAsia" w:ascii="宋体" w:hAnsi="宋体" w:eastAsia="宋体" w:cs="宋体"/>
                <w:bCs w:val="0"/>
                <w:color w:val="auto"/>
                <w:spacing w:val="0"/>
                <w:kern w:val="2"/>
                <w:sz w:val="21"/>
                <w:szCs w:val="21"/>
                <w:highlight w:val="none"/>
                <w:lang w:val="en-US" w:eastAsia="zh-CN" w:bidi="ar-SA"/>
              </w:rPr>
            </w:pPr>
            <w:r>
              <w:rPr>
                <w:rFonts w:hint="eastAsia" w:ascii="宋体" w:hAnsi="宋体" w:eastAsia="宋体" w:cs="宋体"/>
                <w:bCs w:val="0"/>
                <w:color w:val="auto"/>
                <w:spacing w:val="0"/>
                <w:kern w:val="2"/>
                <w:sz w:val="21"/>
                <w:szCs w:val="21"/>
                <w:highlight w:val="none"/>
                <w:lang w:val="en-US" w:eastAsia="zh-CN" w:bidi="ar-SA"/>
              </w:rPr>
              <w:t>5．纸塑袋等密封包其密封宽度≥6mm，包内器械距包装袋封口处应≥2.5cm。医用封口机在使用前应检查参数的准确性和闭合完好性。（1分）</w:t>
            </w:r>
          </w:p>
          <w:p w14:paraId="02D3484C">
            <w:pPr>
              <w:keepNext w:val="0"/>
              <w:keepLines w:val="0"/>
              <w:pageBreakBefore w:val="0"/>
              <w:widowControl w:val="0"/>
              <w:tabs>
                <w:tab w:val="left" w:pos="-1440"/>
                <w:tab w:val="left" w:pos="601"/>
              </w:tabs>
              <w:kinsoku/>
              <w:wordWrap/>
              <w:overflowPunct/>
              <w:topLinePunct w:val="0"/>
              <w:autoSpaceDE/>
              <w:autoSpaceDN/>
              <w:bidi w:val="0"/>
              <w:adjustRightInd/>
              <w:snapToGrid/>
              <w:spacing w:before="25" w:after="25" w:line="360" w:lineRule="auto"/>
              <w:jc w:val="left"/>
              <w:textAlignment w:val="auto"/>
              <w:rPr>
                <w:rFonts w:hint="eastAsia" w:ascii="宋体" w:hAnsi="宋体" w:eastAsia="宋体" w:cs="宋体"/>
                <w:bCs w:val="0"/>
                <w:color w:val="auto"/>
                <w:spacing w:val="0"/>
                <w:kern w:val="2"/>
                <w:sz w:val="21"/>
                <w:szCs w:val="21"/>
                <w:highlight w:val="none"/>
                <w:lang w:val="en-US" w:eastAsia="zh-CN" w:bidi="ar-SA"/>
              </w:rPr>
            </w:pPr>
            <w:r>
              <w:rPr>
                <w:rFonts w:hint="eastAsia" w:ascii="宋体" w:hAnsi="宋体" w:eastAsia="宋体" w:cs="宋体"/>
                <w:bCs w:val="0"/>
                <w:color w:val="auto"/>
                <w:spacing w:val="0"/>
                <w:kern w:val="2"/>
                <w:sz w:val="21"/>
                <w:szCs w:val="21"/>
                <w:highlight w:val="none"/>
                <w:lang w:val="en-US" w:eastAsia="zh-CN" w:bidi="ar-SA"/>
              </w:rPr>
              <w:t>6．包外设有灭菌化学指示物。高度危险性物品灭菌包内应放置包内化学指示物。（2分）</w:t>
            </w:r>
          </w:p>
          <w:p w14:paraId="4DC2D192">
            <w:pPr>
              <w:keepNext w:val="0"/>
              <w:keepLines w:val="0"/>
              <w:pageBreakBefore w:val="0"/>
              <w:widowControl w:val="0"/>
              <w:tabs>
                <w:tab w:val="left" w:pos="-1440"/>
                <w:tab w:val="left" w:pos="601"/>
              </w:tabs>
              <w:kinsoku/>
              <w:wordWrap/>
              <w:overflowPunct/>
              <w:topLinePunct w:val="0"/>
              <w:autoSpaceDE/>
              <w:autoSpaceDN/>
              <w:bidi w:val="0"/>
              <w:adjustRightInd/>
              <w:snapToGrid/>
              <w:spacing w:before="25" w:after="25" w:line="360" w:lineRule="auto"/>
              <w:jc w:val="left"/>
              <w:textAlignment w:val="auto"/>
              <w:rPr>
                <w:rFonts w:hint="eastAsia" w:ascii="宋体" w:hAnsi="宋体" w:eastAsia="宋体" w:cs="宋体"/>
                <w:bCs w:val="0"/>
                <w:color w:val="auto"/>
                <w:spacing w:val="0"/>
                <w:kern w:val="2"/>
                <w:sz w:val="21"/>
                <w:szCs w:val="21"/>
                <w:highlight w:val="none"/>
                <w:lang w:val="en-US" w:eastAsia="zh-CN" w:bidi="ar-SA"/>
              </w:rPr>
            </w:pPr>
            <w:r>
              <w:rPr>
                <w:rFonts w:hint="eastAsia" w:ascii="宋体" w:hAnsi="宋体" w:eastAsia="宋体" w:cs="宋体"/>
                <w:bCs w:val="0"/>
                <w:color w:val="auto"/>
                <w:spacing w:val="0"/>
                <w:kern w:val="2"/>
                <w:sz w:val="21"/>
                <w:szCs w:val="21"/>
                <w:highlight w:val="none"/>
                <w:lang w:val="en-US" w:eastAsia="zh-CN" w:bidi="ar-SA"/>
              </w:rPr>
              <w:t>7．包外标识：灭菌物品包装的标识应包括：物品名称、灭菌器编号、灭菌批次、灭菌日期和失效日期等信息。（1分）</w:t>
            </w:r>
          </w:p>
          <w:p w14:paraId="21F53529">
            <w:pPr>
              <w:keepNext w:val="0"/>
              <w:keepLines w:val="0"/>
              <w:pageBreakBefore w:val="0"/>
              <w:widowControl w:val="0"/>
              <w:tabs>
                <w:tab w:val="left" w:pos="-1440"/>
                <w:tab w:val="left" w:pos="601"/>
              </w:tabs>
              <w:kinsoku/>
              <w:wordWrap/>
              <w:overflowPunct/>
              <w:topLinePunct w:val="0"/>
              <w:autoSpaceDE/>
              <w:autoSpaceDN/>
              <w:bidi w:val="0"/>
              <w:adjustRightInd/>
              <w:snapToGrid/>
              <w:spacing w:before="25" w:after="25" w:line="360" w:lineRule="auto"/>
              <w:jc w:val="left"/>
              <w:textAlignment w:val="auto"/>
              <w:rPr>
                <w:rFonts w:hint="eastAsia" w:ascii="宋体" w:hAnsi="宋体" w:eastAsia="宋体" w:cs="宋体"/>
                <w:bCs/>
                <w:color w:val="auto"/>
                <w:spacing w:val="10"/>
                <w:kern w:val="0"/>
                <w:sz w:val="21"/>
                <w:szCs w:val="21"/>
                <w:highlight w:val="none"/>
                <w:lang w:val="en-US" w:eastAsia="zh-CN" w:bidi="ar-SA"/>
              </w:rPr>
            </w:pPr>
            <w:r>
              <w:rPr>
                <w:rFonts w:hint="eastAsia" w:ascii="宋体" w:hAnsi="宋体" w:eastAsia="宋体" w:cs="宋体"/>
                <w:bCs w:val="0"/>
                <w:color w:val="auto"/>
                <w:spacing w:val="0"/>
                <w:kern w:val="2"/>
                <w:sz w:val="21"/>
                <w:szCs w:val="21"/>
                <w:highlight w:val="none"/>
                <w:lang w:val="en-US" w:eastAsia="zh-CN" w:bidi="ar-SA"/>
              </w:rPr>
              <w:t>8．落实包装者、核对者的双人查对工作。（2分）</w:t>
            </w:r>
          </w:p>
        </w:tc>
        <w:tc>
          <w:tcPr>
            <w:tcW w:w="1020" w:type="dxa"/>
            <w:noWrap w:val="0"/>
            <w:vAlign w:val="center"/>
          </w:tcPr>
          <w:p w14:paraId="06226FB1">
            <w:pPr>
              <w:keepNext w:val="0"/>
              <w:keepLines w:val="0"/>
              <w:pageBreakBefore w:val="0"/>
              <w:widowControl w:val="0"/>
              <w:tabs>
                <w:tab w:val="left" w:pos="-1440"/>
                <w:tab w:val="left" w:pos="601"/>
              </w:tabs>
              <w:kinsoku/>
              <w:wordWrap/>
              <w:overflowPunct/>
              <w:topLinePunct w:val="0"/>
              <w:autoSpaceDE/>
              <w:autoSpaceDN/>
              <w:bidi w:val="0"/>
              <w:adjustRightInd/>
              <w:snapToGrid/>
              <w:spacing w:line="360" w:lineRule="auto"/>
              <w:jc w:val="center"/>
              <w:textAlignment w:val="auto"/>
              <w:rPr>
                <w:rFonts w:hint="eastAsia" w:ascii="宋体" w:hAnsi="宋体" w:eastAsia="宋体" w:cs="宋体"/>
                <w:color w:val="auto"/>
                <w:kern w:val="2"/>
                <w:sz w:val="21"/>
                <w:szCs w:val="21"/>
                <w:highlight w:val="none"/>
                <w:lang w:val="en-US" w:eastAsia="zh-CN"/>
              </w:rPr>
            </w:pPr>
            <w:r>
              <w:rPr>
                <w:rFonts w:hint="eastAsia" w:ascii="宋体" w:hAnsi="宋体" w:eastAsia="宋体" w:cs="宋体"/>
                <w:color w:val="auto"/>
                <w:kern w:val="2"/>
                <w:sz w:val="21"/>
                <w:szCs w:val="21"/>
                <w:highlight w:val="none"/>
              </w:rPr>
              <w:t>15</w:t>
            </w:r>
            <w:r>
              <w:rPr>
                <w:rFonts w:hint="eastAsia" w:ascii="宋体" w:hAnsi="宋体" w:eastAsia="宋体" w:cs="宋体"/>
                <w:color w:val="auto"/>
                <w:kern w:val="2"/>
                <w:sz w:val="21"/>
                <w:szCs w:val="21"/>
                <w:highlight w:val="none"/>
                <w:lang w:val="en-US" w:eastAsia="zh-CN"/>
              </w:rPr>
              <w:t>分</w:t>
            </w:r>
          </w:p>
        </w:tc>
        <w:tc>
          <w:tcPr>
            <w:tcW w:w="2066" w:type="dxa"/>
            <w:noWrap w:val="0"/>
            <w:vAlign w:val="center"/>
          </w:tcPr>
          <w:p w14:paraId="3F9F70EC">
            <w:pPr>
              <w:keepNext w:val="0"/>
              <w:keepLines w:val="0"/>
              <w:pageBreakBefore w:val="0"/>
              <w:widowControl w:val="0"/>
              <w:tabs>
                <w:tab w:val="left" w:pos="-1440"/>
                <w:tab w:val="left" w:pos="601"/>
              </w:tabs>
              <w:kinsoku/>
              <w:wordWrap/>
              <w:overflowPunct/>
              <w:topLinePunct w:val="0"/>
              <w:autoSpaceDE/>
              <w:autoSpaceDN/>
              <w:bidi w:val="0"/>
              <w:adjustRightInd/>
              <w:snapToGrid/>
              <w:spacing w:line="360" w:lineRule="auto"/>
              <w:textAlignment w:val="auto"/>
              <w:rPr>
                <w:rFonts w:hint="eastAsia" w:ascii="宋体" w:hAnsi="宋体" w:eastAsia="宋体" w:cs="宋体"/>
                <w:color w:val="auto"/>
                <w:kern w:val="2"/>
                <w:sz w:val="21"/>
                <w:szCs w:val="21"/>
                <w:highlight w:val="none"/>
                <w:lang w:eastAsia="zh-CN"/>
              </w:rPr>
            </w:pPr>
            <w:r>
              <w:rPr>
                <w:rFonts w:hint="eastAsia" w:ascii="宋体" w:hAnsi="宋体" w:eastAsia="宋体" w:cs="宋体"/>
                <w:color w:val="auto"/>
                <w:kern w:val="2"/>
                <w:sz w:val="21"/>
                <w:szCs w:val="21"/>
                <w:highlight w:val="none"/>
                <w:lang w:eastAsia="zh-CN"/>
              </w:rPr>
              <w:t>1.根据使用科室反馈情况进行评分。临床科室反映质量问题，</w:t>
            </w:r>
            <w:r>
              <w:rPr>
                <w:rFonts w:hint="eastAsia" w:ascii="宋体" w:hAnsi="宋体" w:eastAsia="宋体" w:cs="宋体"/>
                <w:color w:val="auto"/>
                <w:kern w:val="2"/>
                <w:sz w:val="21"/>
                <w:szCs w:val="21"/>
                <w:highlight w:val="none"/>
                <w:lang w:val="en-US" w:eastAsia="zh-CN"/>
              </w:rPr>
              <w:t>经查属实，</w:t>
            </w:r>
            <w:r>
              <w:rPr>
                <w:rFonts w:hint="eastAsia" w:ascii="宋体" w:hAnsi="宋体" w:eastAsia="宋体" w:cs="宋体"/>
                <w:color w:val="auto"/>
                <w:kern w:val="2"/>
                <w:sz w:val="21"/>
                <w:szCs w:val="21"/>
                <w:highlight w:val="none"/>
                <w:lang w:eastAsia="zh-CN"/>
              </w:rPr>
              <w:t>扣0.2分/条。</w:t>
            </w:r>
          </w:p>
          <w:p w14:paraId="6A8AF559">
            <w:pPr>
              <w:keepNext w:val="0"/>
              <w:keepLines w:val="0"/>
              <w:pageBreakBefore w:val="0"/>
              <w:widowControl w:val="0"/>
              <w:tabs>
                <w:tab w:val="left" w:pos="-1440"/>
                <w:tab w:val="left" w:pos="601"/>
              </w:tabs>
              <w:kinsoku/>
              <w:wordWrap/>
              <w:overflowPunct/>
              <w:topLinePunct w:val="0"/>
              <w:autoSpaceDE/>
              <w:autoSpaceDN/>
              <w:bidi w:val="0"/>
              <w:adjustRightInd/>
              <w:snapToGrid/>
              <w:spacing w:line="360" w:lineRule="auto"/>
              <w:textAlignment w:val="auto"/>
              <w:rPr>
                <w:rFonts w:hint="eastAsia" w:ascii="宋体" w:hAnsi="宋体" w:eastAsia="宋体" w:cs="宋体"/>
                <w:color w:val="auto"/>
                <w:kern w:val="2"/>
                <w:sz w:val="21"/>
                <w:szCs w:val="21"/>
                <w:highlight w:val="none"/>
              </w:rPr>
            </w:pPr>
            <w:r>
              <w:rPr>
                <w:rFonts w:hint="eastAsia" w:ascii="宋体" w:hAnsi="宋体" w:eastAsia="宋体" w:cs="宋体"/>
                <w:color w:val="auto"/>
                <w:kern w:val="2"/>
                <w:sz w:val="21"/>
                <w:szCs w:val="21"/>
                <w:highlight w:val="none"/>
                <w:lang w:eastAsia="zh-CN"/>
              </w:rPr>
              <w:t>2.根据每月现场质控检查进行评分。</w:t>
            </w:r>
            <w:r>
              <w:rPr>
                <w:rFonts w:hint="eastAsia" w:ascii="宋体" w:hAnsi="宋体" w:eastAsia="宋体" w:cs="宋体"/>
                <w:color w:val="auto"/>
                <w:kern w:val="2"/>
                <w:sz w:val="21"/>
                <w:szCs w:val="21"/>
                <w:highlight w:val="none"/>
                <w:lang w:val="en-US" w:eastAsia="zh-CN"/>
              </w:rPr>
              <w:t>每发现一条存在问题按所在分值的5%扣分。</w:t>
            </w:r>
          </w:p>
        </w:tc>
        <w:tc>
          <w:tcPr>
            <w:tcW w:w="668" w:type="dxa"/>
            <w:noWrap w:val="0"/>
            <w:vAlign w:val="center"/>
          </w:tcPr>
          <w:p w14:paraId="011B2153">
            <w:pPr>
              <w:keepNext w:val="0"/>
              <w:keepLines w:val="0"/>
              <w:pageBreakBefore w:val="0"/>
              <w:widowControl w:val="0"/>
              <w:tabs>
                <w:tab w:val="left" w:pos="-1440"/>
                <w:tab w:val="left" w:pos="601"/>
              </w:tabs>
              <w:kinsoku/>
              <w:wordWrap/>
              <w:overflowPunct/>
              <w:topLinePunct w:val="0"/>
              <w:autoSpaceDE/>
              <w:autoSpaceDN/>
              <w:bidi w:val="0"/>
              <w:adjustRightInd/>
              <w:snapToGrid/>
              <w:spacing w:line="360" w:lineRule="auto"/>
              <w:textAlignment w:val="auto"/>
              <w:rPr>
                <w:rFonts w:hint="eastAsia" w:ascii="宋体" w:hAnsi="宋体" w:eastAsia="宋体" w:cs="宋体"/>
                <w:color w:val="auto"/>
                <w:kern w:val="2"/>
                <w:sz w:val="21"/>
                <w:szCs w:val="21"/>
                <w:highlight w:val="none"/>
              </w:rPr>
            </w:pPr>
          </w:p>
        </w:tc>
      </w:tr>
      <w:tr w14:paraId="40DADAD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03" w:type="dxa"/>
            <w:noWrap w:val="0"/>
            <w:vAlign w:val="center"/>
          </w:tcPr>
          <w:p w14:paraId="3D16DFE3">
            <w:pPr>
              <w:keepNext w:val="0"/>
              <w:keepLines w:val="0"/>
              <w:pageBreakBefore w:val="0"/>
              <w:widowControl w:val="0"/>
              <w:tabs>
                <w:tab w:val="left" w:pos="-1440"/>
                <w:tab w:val="left" w:pos="601"/>
              </w:tabs>
              <w:kinsoku/>
              <w:wordWrap/>
              <w:overflowPunct/>
              <w:topLinePunct w:val="0"/>
              <w:autoSpaceDE/>
              <w:autoSpaceDN/>
              <w:bidi w:val="0"/>
              <w:adjustRightInd/>
              <w:snapToGrid/>
              <w:spacing w:line="360" w:lineRule="auto"/>
              <w:jc w:val="center"/>
              <w:textAlignment w:val="auto"/>
              <w:rPr>
                <w:rFonts w:hint="eastAsia" w:ascii="宋体" w:hAnsi="宋体" w:eastAsia="宋体" w:cs="宋体"/>
                <w:color w:val="auto"/>
                <w:kern w:val="2"/>
                <w:sz w:val="21"/>
                <w:szCs w:val="21"/>
                <w:highlight w:val="none"/>
              </w:rPr>
            </w:pPr>
            <w:r>
              <w:rPr>
                <w:rFonts w:hint="eastAsia" w:ascii="宋体" w:hAnsi="宋体" w:eastAsia="宋体" w:cs="宋体"/>
                <w:color w:val="auto"/>
                <w:kern w:val="2"/>
                <w:sz w:val="21"/>
                <w:szCs w:val="21"/>
                <w:highlight w:val="none"/>
              </w:rPr>
              <w:t>7</w:t>
            </w:r>
          </w:p>
        </w:tc>
        <w:tc>
          <w:tcPr>
            <w:tcW w:w="1827" w:type="dxa"/>
            <w:noWrap w:val="0"/>
            <w:vAlign w:val="center"/>
          </w:tcPr>
          <w:p w14:paraId="3492502D">
            <w:pPr>
              <w:keepNext w:val="0"/>
              <w:keepLines w:val="0"/>
              <w:pageBreakBefore w:val="0"/>
              <w:widowControl w:val="0"/>
              <w:tabs>
                <w:tab w:val="left" w:pos="-1440"/>
                <w:tab w:val="left" w:pos="601"/>
              </w:tabs>
              <w:kinsoku/>
              <w:wordWrap/>
              <w:overflowPunct/>
              <w:topLinePunct w:val="0"/>
              <w:autoSpaceDE/>
              <w:autoSpaceDN/>
              <w:bidi w:val="0"/>
              <w:adjustRightInd/>
              <w:snapToGrid/>
              <w:spacing w:line="360" w:lineRule="auto"/>
              <w:jc w:val="center"/>
              <w:textAlignment w:val="auto"/>
              <w:rPr>
                <w:rFonts w:hint="eastAsia" w:ascii="宋体" w:hAnsi="宋体" w:eastAsia="宋体" w:cs="宋体"/>
                <w:color w:val="auto"/>
                <w:kern w:val="2"/>
                <w:sz w:val="21"/>
                <w:szCs w:val="21"/>
                <w:highlight w:val="none"/>
              </w:rPr>
            </w:pPr>
            <w:r>
              <w:rPr>
                <w:rFonts w:hint="eastAsia" w:ascii="宋体" w:hAnsi="宋体" w:eastAsia="宋体" w:cs="宋体"/>
                <w:color w:val="auto"/>
                <w:kern w:val="2"/>
                <w:sz w:val="21"/>
                <w:szCs w:val="21"/>
                <w:highlight w:val="none"/>
              </w:rPr>
              <w:t>无菌物品合格率</w:t>
            </w:r>
          </w:p>
        </w:tc>
        <w:tc>
          <w:tcPr>
            <w:tcW w:w="2770" w:type="dxa"/>
            <w:noWrap w:val="0"/>
            <w:vAlign w:val="center"/>
          </w:tcPr>
          <w:p w14:paraId="1A91A89B">
            <w:pPr>
              <w:keepNext w:val="0"/>
              <w:keepLines w:val="0"/>
              <w:pageBreakBefore w:val="0"/>
              <w:widowControl w:val="0"/>
              <w:tabs>
                <w:tab w:val="left" w:pos="-1440"/>
                <w:tab w:val="left" w:pos="601"/>
              </w:tabs>
              <w:kinsoku/>
              <w:wordWrap/>
              <w:overflowPunct/>
              <w:topLinePunct w:val="0"/>
              <w:autoSpaceDE/>
              <w:autoSpaceDN/>
              <w:bidi w:val="0"/>
              <w:adjustRightInd/>
              <w:snapToGrid/>
              <w:spacing w:line="360" w:lineRule="auto"/>
              <w:textAlignment w:val="auto"/>
              <w:rPr>
                <w:rFonts w:hint="eastAsia" w:ascii="宋体" w:hAnsi="宋体" w:eastAsia="宋体" w:cs="宋体"/>
                <w:color w:val="auto"/>
                <w:kern w:val="2"/>
                <w:sz w:val="21"/>
                <w:szCs w:val="21"/>
                <w:highlight w:val="none"/>
                <w:lang w:eastAsia="zh-CN"/>
              </w:rPr>
            </w:pPr>
            <w:r>
              <w:rPr>
                <w:rFonts w:hint="eastAsia" w:ascii="宋体" w:hAnsi="宋体" w:eastAsia="宋体" w:cs="宋体"/>
                <w:color w:val="auto"/>
                <w:kern w:val="2"/>
                <w:sz w:val="21"/>
                <w:szCs w:val="21"/>
                <w:highlight w:val="none"/>
                <w:lang w:eastAsia="zh-CN"/>
              </w:rPr>
              <w:t>要求：</w:t>
            </w:r>
          </w:p>
          <w:p w14:paraId="72334035">
            <w:pPr>
              <w:keepNext w:val="0"/>
              <w:keepLines w:val="0"/>
              <w:pageBreakBefore w:val="0"/>
              <w:widowControl w:val="0"/>
              <w:tabs>
                <w:tab w:val="left" w:pos="-1440"/>
                <w:tab w:val="left" w:pos="601"/>
              </w:tabs>
              <w:kinsoku/>
              <w:wordWrap/>
              <w:overflowPunct/>
              <w:topLinePunct w:val="0"/>
              <w:autoSpaceDE/>
              <w:autoSpaceDN/>
              <w:bidi w:val="0"/>
              <w:adjustRightInd/>
              <w:snapToGrid/>
              <w:spacing w:line="360" w:lineRule="auto"/>
              <w:textAlignment w:val="auto"/>
              <w:rPr>
                <w:rFonts w:hint="eastAsia" w:ascii="宋体" w:hAnsi="宋体" w:eastAsia="宋体" w:cs="宋体"/>
                <w:color w:val="auto"/>
                <w:kern w:val="2"/>
                <w:sz w:val="21"/>
                <w:szCs w:val="21"/>
                <w:highlight w:val="none"/>
                <w:lang w:eastAsia="zh-CN"/>
              </w:rPr>
            </w:pPr>
            <w:r>
              <w:rPr>
                <w:rFonts w:hint="eastAsia" w:ascii="宋体" w:hAnsi="宋体" w:eastAsia="宋体" w:cs="宋体"/>
                <w:color w:val="auto"/>
                <w:kern w:val="2"/>
                <w:sz w:val="21"/>
                <w:szCs w:val="21"/>
                <w:highlight w:val="none"/>
                <w:lang w:eastAsia="zh-CN"/>
              </w:rPr>
              <w:t>1．每月无菌物品合格率应达到100%，对湿包率进行质量分析。（5分）</w:t>
            </w:r>
          </w:p>
          <w:p w14:paraId="385ABB52">
            <w:pPr>
              <w:keepNext w:val="0"/>
              <w:keepLines w:val="0"/>
              <w:pageBreakBefore w:val="0"/>
              <w:widowControl w:val="0"/>
              <w:tabs>
                <w:tab w:val="left" w:pos="-1440"/>
                <w:tab w:val="left" w:pos="601"/>
              </w:tabs>
              <w:kinsoku/>
              <w:wordWrap/>
              <w:overflowPunct/>
              <w:topLinePunct w:val="0"/>
              <w:autoSpaceDE/>
              <w:autoSpaceDN/>
              <w:bidi w:val="0"/>
              <w:adjustRightInd/>
              <w:snapToGrid/>
              <w:spacing w:line="360" w:lineRule="auto"/>
              <w:textAlignment w:val="auto"/>
              <w:rPr>
                <w:rFonts w:hint="eastAsia" w:ascii="宋体" w:hAnsi="宋体" w:eastAsia="宋体" w:cs="宋体"/>
                <w:color w:val="auto"/>
                <w:kern w:val="2"/>
                <w:sz w:val="21"/>
                <w:szCs w:val="21"/>
                <w:highlight w:val="none"/>
                <w:lang w:eastAsia="zh-CN"/>
              </w:rPr>
            </w:pPr>
            <w:r>
              <w:rPr>
                <w:rFonts w:hint="eastAsia" w:ascii="宋体" w:hAnsi="宋体" w:eastAsia="宋体" w:cs="宋体"/>
                <w:color w:val="auto"/>
                <w:kern w:val="2"/>
                <w:sz w:val="21"/>
                <w:szCs w:val="21"/>
                <w:highlight w:val="none"/>
                <w:lang w:eastAsia="zh-CN"/>
              </w:rPr>
              <w:t>2．压力蒸汽灭菌器应每年对灭菌程序的温度、压力和时间进行检测。定期对压力表和安全阀进行检测。（1分）</w:t>
            </w:r>
          </w:p>
          <w:p w14:paraId="5FC83820">
            <w:pPr>
              <w:keepNext w:val="0"/>
              <w:keepLines w:val="0"/>
              <w:pageBreakBefore w:val="0"/>
              <w:widowControl w:val="0"/>
              <w:tabs>
                <w:tab w:val="left" w:pos="-1440"/>
                <w:tab w:val="left" w:pos="601"/>
              </w:tabs>
              <w:kinsoku/>
              <w:wordWrap/>
              <w:overflowPunct/>
              <w:topLinePunct w:val="0"/>
              <w:autoSpaceDE/>
              <w:autoSpaceDN/>
              <w:bidi w:val="0"/>
              <w:adjustRightInd/>
              <w:snapToGrid/>
              <w:spacing w:line="360" w:lineRule="auto"/>
              <w:textAlignment w:val="auto"/>
              <w:rPr>
                <w:rFonts w:hint="eastAsia" w:ascii="宋体" w:hAnsi="宋体" w:eastAsia="宋体" w:cs="宋体"/>
                <w:color w:val="auto"/>
                <w:kern w:val="2"/>
                <w:sz w:val="21"/>
                <w:szCs w:val="21"/>
                <w:highlight w:val="none"/>
                <w:lang w:eastAsia="zh-CN"/>
              </w:rPr>
            </w:pPr>
            <w:r>
              <w:rPr>
                <w:rFonts w:hint="eastAsia" w:ascii="宋体" w:hAnsi="宋体" w:eastAsia="宋体" w:cs="宋体"/>
                <w:color w:val="auto"/>
                <w:kern w:val="2"/>
                <w:sz w:val="21"/>
                <w:szCs w:val="21"/>
                <w:highlight w:val="none"/>
                <w:lang w:eastAsia="zh-CN"/>
              </w:rPr>
              <w:t>3．灭菌前进行安全检查记录。（2分）</w:t>
            </w:r>
          </w:p>
          <w:p w14:paraId="04BEF6EB">
            <w:pPr>
              <w:keepNext w:val="0"/>
              <w:keepLines w:val="0"/>
              <w:pageBreakBefore w:val="0"/>
              <w:widowControl w:val="0"/>
              <w:tabs>
                <w:tab w:val="left" w:pos="-1440"/>
                <w:tab w:val="left" w:pos="601"/>
              </w:tabs>
              <w:kinsoku/>
              <w:wordWrap/>
              <w:overflowPunct/>
              <w:topLinePunct w:val="0"/>
              <w:autoSpaceDE/>
              <w:autoSpaceDN/>
              <w:bidi w:val="0"/>
              <w:adjustRightInd/>
              <w:snapToGrid/>
              <w:spacing w:line="360" w:lineRule="auto"/>
              <w:textAlignment w:val="auto"/>
              <w:rPr>
                <w:rFonts w:hint="eastAsia" w:ascii="宋体" w:hAnsi="宋体" w:eastAsia="宋体" w:cs="宋体"/>
                <w:color w:val="auto"/>
                <w:kern w:val="2"/>
                <w:sz w:val="21"/>
                <w:szCs w:val="21"/>
                <w:highlight w:val="none"/>
                <w:lang w:eastAsia="zh-CN"/>
              </w:rPr>
            </w:pPr>
            <w:r>
              <w:rPr>
                <w:rFonts w:hint="eastAsia" w:ascii="宋体" w:hAnsi="宋体" w:eastAsia="宋体" w:cs="宋体"/>
                <w:color w:val="auto"/>
                <w:kern w:val="2"/>
                <w:sz w:val="21"/>
                <w:szCs w:val="21"/>
                <w:highlight w:val="none"/>
                <w:lang w:eastAsia="zh-CN"/>
              </w:rPr>
              <w:t>4．物品装载符合要求。（2分）</w:t>
            </w:r>
          </w:p>
          <w:p w14:paraId="7FCEB972">
            <w:pPr>
              <w:keepNext w:val="0"/>
              <w:keepLines w:val="0"/>
              <w:pageBreakBefore w:val="0"/>
              <w:widowControl w:val="0"/>
              <w:tabs>
                <w:tab w:val="left" w:pos="-1440"/>
                <w:tab w:val="left" w:pos="601"/>
              </w:tabs>
              <w:kinsoku/>
              <w:wordWrap/>
              <w:overflowPunct/>
              <w:topLinePunct w:val="0"/>
              <w:autoSpaceDE/>
              <w:autoSpaceDN/>
              <w:bidi w:val="0"/>
              <w:adjustRightInd/>
              <w:snapToGrid/>
              <w:spacing w:line="360" w:lineRule="auto"/>
              <w:textAlignment w:val="auto"/>
              <w:rPr>
                <w:rFonts w:hint="eastAsia" w:ascii="宋体" w:hAnsi="宋体" w:eastAsia="宋体" w:cs="宋体"/>
                <w:color w:val="auto"/>
                <w:kern w:val="2"/>
                <w:sz w:val="21"/>
                <w:szCs w:val="21"/>
                <w:highlight w:val="none"/>
                <w:lang w:eastAsia="zh-CN"/>
              </w:rPr>
            </w:pPr>
            <w:r>
              <w:rPr>
                <w:rFonts w:hint="eastAsia" w:ascii="宋体" w:hAnsi="宋体" w:eastAsia="宋体" w:cs="宋体"/>
                <w:color w:val="auto"/>
                <w:kern w:val="2"/>
                <w:sz w:val="21"/>
                <w:szCs w:val="21"/>
                <w:highlight w:val="none"/>
                <w:lang w:eastAsia="zh-CN"/>
              </w:rPr>
              <w:t>5．无菌物品卸载需冷却时间&gt;30min,确认灭菌过程合格，结果符合要求。（2分）</w:t>
            </w:r>
          </w:p>
          <w:p w14:paraId="764AC3B8">
            <w:pPr>
              <w:keepNext w:val="0"/>
              <w:keepLines w:val="0"/>
              <w:pageBreakBefore w:val="0"/>
              <w:widowControl w:val="0"/>
              <w:tabs>
                <w:tab w:val="left" w:pos="-1440"/>
                <w:tab w:val="left" w:pos="601"/>
              </w:tabs>
              <w:kinsoku/>
              <w:wordWrap/>
              <w:overflowPunct/>
              <w:topLinePunct w:val="0"/>
              <w:autoSpaceDE/>
              <w:autoSpaceDN/>
              <w:bidi w:val="0"/>
              <w:adjustRightInd/>
              <w:snapToGrid/>
              <w:spacing w:line="360" w:lineRule="auto"/>
              <w:textAlignment w:val="auto"/>
              <w:rPr>
                <w:rFonts w:hint="eastAsia" w:ascii="宋体" w:hAnsi="宋体" w:eastAsia="宋体" w:cs="宋体"/>
                <w:color w:val="auto"/>
                <w:kern w:val="2"/>
                <w:sz w:val="21"/>
                <w:szCs w:val="21"/>
                <w:highlight w:val="none"/>
                <w:lang w:eastAsia="zh-CN"/>
              </w:rPr>
            </w:pPr>
            <w:r>
              <w:rPr>
                <w:rFonts w:hint="eastAsia" w:ascii="宋体" w:hAnsi="宋体" w:eastAsia="宋体" w:cs="宋体"/>
                <w:color w:val="auto"/>
                <w:kern w:val="2"/>
                <w:sz w:val="21"/>
                <w:szCs w:val="21"/>
                <w:highlight w:val="none"/>
                <w:lang w:eastAsia="zh-CN"/>
              </w:rPr>
              <w:t>6．发生湿包时不应储存与发放，分析原因及改进。（1分）</w:t>
            </w:r>
          </w:p>
          <w:p w14:paraId="7A012451">
            <w:pPr>
              <w:keepNext w:val="0"/>
              <w:keepLines w:val="0"/>
              <w:pageBreakBefore w:val="0"/>
              <w:widowControl w:val="0"/>
              <w:tabs>
                <w:tab w:val="left" w:pos="-1440"/>
                <w:tab w:val="left" w:pos="601"/>
              </w:tabs>
              <w:kinsoku/>
              <w:wordWrap/>
              <w:overflowPunct/>
              <w:topLinePunct w:val="0"/>
              <w:autoSpaceDE/>
              <w:autoSpaceDN/>
              <w:bidi w:val="0"/>
              <w:adjustRightInd/>
              <w:snapToGrid/>
              <w:spacing w:line="360" w:lineRule="auto"/>
              <w:textAlignment w:val="auto"/>
              <w:rPr>
                <w:rFonts w:hint="eastAsia" w:ascii="宋体" w:hAnsi="宋体" w:eastAsia="宋体" w:cs="宋体"/>
                <w:color w:val="auto"/>
                <w:kern w:val="2"/>
                <w:sz w:val="21"/>
                <w:szCs w:val="21"/>
                <w:highlight w:val="none"/>
                <w:lang w:eastAsia="zh-CN"/>
              </w:rPr>
            </w:pPr>
            <w:r>
              <w:rPr>
                <w:rFonts w:hint="eastAsia" w:ascii="宋体" w:hAnsi="宋体" w:eastAsia="宋体" w:cs="宋体"/>
                <w:color w:val="auto"/>
                <w:kern w:val="2"/>
                <w:sz w:val="21"/>
                <w:szCs w:val="21"/>
                <w:highlight w:val="none"/>
                <w:lang w:eastAsia="zh-CN"/>
              </w:rPr>
              <w:t>质量监测：</w:t>
            </w:r>
          </w:p>
          <w:p w14:paraId="62D6B510">
            <w:pPr>
              <w:keepNext w:val="0"/>
              <w:keepLines w:val="0"/>
              <w:pageBreakBefore w:val="0"/>
              <w:widowControl w:val="0"/>
              <w:tabs>
                <w:tab w:val="left" w:pos="-1440"/>
                <w:tab w:val="left" w:pos="601"/>
              </w:tabs>
              <w:kinsoku/>
              <w:wordWrap/>
              <w:overflowPunct/>
              <w:topLinePunct w:val="0"/>
              <w:autoSpaceDE/>
              <w:autoSpaceDN/>
              <w:bidi w:val="0"/>
              <w:adjustRightInd/>
              <w:snapToGrid/>
              <w:spacing w:line="360" w:lineRule="auto"/>
              <w:textAlignment w:val="auto"/>
              <w:rPr>
                <w:rFonts w:hint="eastAsia" w:ascii="宋体" w:hAnsi="宋体" w:eastAsia="宋体" w:cs="宋体"/>
                <w:color w:val="auto"/>
                <w:kern w:val="2"/>
                <w:sz w:val="21"/>
                <w:szCs w:val="21"/>
                <w:highlight w:val="none"/>
                <w:lang w:eastAsia="zh-CN"/>
              </w:rPr>
            </w:pPr>
            <w:r>
              <w:rPr>
                <w:rFonts w:hint="eastAsia" w:ascii="宋体" w:hAnsi="宋体" w:eastAsia="宋体" w:cs="宋体"/>
                <w:color w:val="auto"/>
                <w:kern w:val="2"/>
                <w:sz w:val="21"/>
                <w:szCs w:val="21"/>
                <w:highlight w:val="none"/>
                <w:lang w:eastAsia="zh-CN"/>
              </w:rPr>
              <w:t>7．对灭菌质量采用BD测试、物理监测、化学监测和生物监测法进行监测，并保留记录相关信息。制定并落实监测不合格时的处理流程，并及时报告医院，必要时启动应急预案。（5分）</w:t>
            </w:r>
          </w:p>
          <w:p w14:paraId="280DD53C">
            <w:pPr>
              <w:keepNext w:val="0"/>
              <w:keepLines w:val="0"/>
              <w:pageBreakBefore w:val="0"/>
              <w:widowControl w:val="0"/>
              <w:tabs>
                <w:tab w:val="left" w:pos="-1440"/>
                <w:tab w:val="left" w:pos="601"/>
              </w:tabs>
              <w:kinsoku/>
              <w:wordWrap/>
              <w:overflowPunct/>
              <w:topLinePunct w:val="0"/>
              <w:autoSpaceDE/>
              <w:autoSpaceDN/>
              <w:bidi w:val="0"/>
              <w:adjustRightInd/>
              <w:snapToGrid/>
              <w:spacing w:line="360" w:lineRule="auto"/>
              <w:textAlignment w:val="auto"/>
              <w:rPr>
                <w:rFonts w:hint="eastAsia" w:ascii="宋体" w:hAnsi="宋体" w:eastAsia="宋体" w:cs="宋体"/>
                <w:color w:val="auto"/>
                <w:kern w:val="2"/>
                <w:sz w:val="21"/>
                <w:szCs w:val="21"/>
                <w:highlight w:val="none"/>
              </w:rPr>
            </w:pPr>
            <w:r>
              <w:rPr>
                <w:rFonts w:hint="eastAsia" w:ascii="宋体" w:hAnsi="宋体" w:eastAsia="宋体" w:cs="宋体"/>
                <w:color w:val="auto"/>
                <w:kern w:val="2"/>
                <w:sz w:val="21"/>
                <w:szCs w:val="21"/>
                <w:highlight w:val="none"/>
                <w:lang w:eastAsia="zh-CN"/>
              </w:rPr>
              <w:t>8．植入物的灭菌应每批次进行生物监测。生物监测合格后，方可放行。对外来医疗器械、植入物、超大超重包，应遵循厂家提出的灭菌参数和有效性进行测试，并进行湿包检查。</w:t>
            </w:r>
            <w:r>
              <w:rPr>
                <w:rFonts w:hint="eastAsia" w:ascii="宋体" w:hAnsi="宋体" w:eastAsia="宋体" w:cs="宋体"/>
                <w:color w:val="auto"/>
                <w:kern w:val="2"/>
                <w:sz w:val="21"/>
                <w:szCs w:val="21"/>
                <w:highlight w:val="none"/>
              </w:rPr>
              <w:t>（2分）</w:t>
            </w:r>
          </w:p>
        </w:tc>
        <w:tc>
          <w:tcPr>
            <w:tcW w:w="1020" w:type="dxa"/>
            <w:noWrap w:val="0"/>
            <w:vAlign w:val="center"/>
          </w:tcPr>
          <w:p w14:paraId="004F37AE">
            <w:pPr>
              <w:keepNext w:val="0"/>
              <w:keepLines w:val="0"/>
              <w:pageBreakBefore w:val="0"/>
              <w:widowControl w:val="0"/>
              <w:tabs>
                <w:tab w:val="left" w:pos="-1440"/>
                <w:tab w:val="left" w:pos="601"/>
              </w:tabs>
              <w:kinsoku/>
              <w:wordWrap/>
              <w:overflowPunct/>
              <w:topLinePunct w:val="0"/>
              <w:autoSpaceDE/>
              <w:autoSpaceDN/>
              <w:bidi w:val="0"/>
              <w:adjustRightInd/>
              <w:snapToGrid/>
              <w:spacing w:line="360" w:lineRule="auto"/>
              <w:jc w:val="center"/>
              <w:textAlignment w:val="auto"/>
              <w:rPr>
                <w:rFonts w:hint="eastAsia" w:ascii="宋体" w:hAnsi="宋体" w:eastAsia="宋体" w:cs="宋体"/>
                <w:color w:val="auto"/>
                <w:kern w:val="2"/>
                <w:sz w:val="21"/>
                <w:szCs w:val="21"/>
                <w:highlight w:val="none"/>
                <w:lang w:val="en-US" w:eastAsia="zh-CN"/>
              </w:rPr>
            </w:pPr>
            <w:r>
              <w:rPr>
                <w:rFonts w:hint="eastAsia" w:ascii="宋体" w:hAnsi="宋体" w:eastAsia="宋体" w:cs="宋体"/>
                <w:color w:val="auto"/>
                <w:kern w:val="2"/>
                <w:sz w:val="21"/>
                <w:szCs w:val="21"/>
                <w:highlight w:val="none"/>
              </w:rPr>
              <w:t>20</w:t>
            </w:r>
            <w:r>
              <w:rPr>
                <w:rFonts w:hint="eastAsia" w:ascii="宋体" w:hAnsi="宋体" w:eastAsia="宋体" w:cs="宋体"/>
                <w:color w:val="auto"/>
                <w:kern w:val="2"/>
                <w:sz w:val="21"/>
                <w:szCs w:val="21"/>
                <w:highlight w:val="none"/>
                <w:lang w:val="en-US" w:eastAsia="zh-CN"/>
              </w:rPr>
              <w:t>分</w:t>
            </w:r>
          </w:p>
        </w:tc>
        <w:tc>
          <w:tcPr>
            <w:tcW w:w="2066" w:type="dxa"/>
            <w:noWrap w:val="0"/>
            <w:vAlign w:val="center"/>
          </w:tcPr>
          <w:p w14:paraId="13B912A1">
            <w:pPr>
              <w:keepNext w:val="0"/>
              <w:keepLines w:val="0"/>
              <w:pageBreakBefore w:val="0"/>
              <w:widowControl w:val="0"/>
              <w:tabs>
                <w:tab w:val="left" w:pos="-1440"/>
                <w:tab w:val="left" w:pos="601"/>
              </w:tabs>
              <w:kinsoku/>
              <w:wordWrap/>
              <w:overflowPunct/>
              <w:topLinePunct w:val="0"/>
              <w:autoSpaceDE/>
              <w:autoSpaceDN/>
              <w:bidi w:val="0"/>
              <w:adjustRightInd/>
              <w:snapToGrid/>
              <w:spacing w:line="360" w:lineRule="auto"/>
              <w:textAlignment w:val="auto"/>
              <w:rPr>
                <w:rFonts w:hint="eastAsia" w:ascii="宋体" w:hAnsi="宋体" w:eastAsia="宋体" w:cs="宋体"/>
                <w:color w:val="auto"/>
                <w:kern w:val="2"/>
                <w:sz w:val="21"/>
                <w:szCs w:val="21"/>
                <w:highlight w:val="none"/>
                <w:lang w:eastAsia="zh-CN"/>
              </w:rPr>
            </w:pPr>
            <w:r>
              <w:rPr>
                <w:rFonts w:hint="eastAsia" w:ascii="宋体" w:hAnsi="宋体" w:eastAsia="宋体" w:cs="宋体"/>
                <w:color w:val="auto"/>
                <w:kern w:val="2"/>
                <w:sz w:val="21"/>
                <w:szCs w:val="21"/>
                <w:highlight w:val="none"/>
                <w:lang w:eastAsia="zh-CN"/>
              </w:rPr>
              <w:t>1.根据使用科室反馈情况进行评分。临床科室反映质量问题，</w:t>
            </w:r>
            <w:r>
              <w:rPr>
                <w:rFonts w:hint="eastAsia" w:ascii="宋体" w:hAnsi="宋体" w:eastAsia="宋体" w:cs="宋体"/>
                <w:color w:val="auto"/>
                <w:kern w:val="2"/>
                <w:sz w:val="21"/>
                <w:szCs w:val="21"/>
                <w:highlight w:val="none"/>
                <w:lang w:val="en-US" w:eastAsia="zh-CN"/>
              </w:rPr>
              <w:t>经查属实，</w:t>
            </w:r>
            <w:r>
              <w:rPr>
                <w:rFonts w:hint="eastAsia" w:ascii="宋体" w:hAnsi="宋体" w:eastAsia="宋体" w:cs="宋体"/>
                <w:color w:val="auto"/>
                <w:kern w:val="2"/>
                <w:sz w:val="21"/>
                <w:szCs w:val="21"/>
                <w:highlight w:val="none"/>
                <w:lang w:eastAsia="zh-CN"/>
              </w:rPr>
              <w:t>扣0.2分/条。</w:t>
            </w:r>
          </w:p>
          <w:p w14:paraId="1D7A6465">
            <w:pPr>
              <w:keepNext w:val="0"/>
              <w:keepLines w:val="0"/>
              <w:pageBreakBefore w:val="0"/>
              <w:widowControl w:val="0"/>
              <w:tabs>
                <w:tab w:val="left" w:pos="-1440"/>
                <w:tab w:val="left" w:pos="601"/>
              </w:tabs>
              <w:kinsoku/>
              <w:wordWrap/>
              <w:overflowPunct/>
              <w:topLinePunct w:val="0"/>
              <w:autoSpaceDE/>
              <w:autoSpaceDN/>
              <w:bidi w:val="0"/>
              <w:adjustRightInd/>
              <w:snapToGrid/>
              <w:spacing w:line="360" w:lineRule="auto"/>
              <w:textAlignment w:val="auto"/>
              <w:rPr>
                <w:rFonts w:hint="eastAsia" w:ascii="宋体" w:hAnsi="宋体" w:eastAsia="宋体" w:cs="宋体"/>
                <w:color w:val="auto"/>
                <w:kern w:val="2"/>
                <w:sz w:val="21"/>
                <w:szCs w:val="21"/>
                <w:highlight w:val="none"/>
              </w:rPr>
            </w:pPr>
            <w:r>
              <w:rPr>
                <w:rFonts w:hint="eastAsia" w:ascii="宋体" w:hAnsi="宋体" w:eastAsia="宋体" w:cs="宋体"/>
                <w:color w:val="auto"/>
                <w:kern w:val="2"/>
                <w:sz w:val="21"/>
                <w:szCs w:val="21"/>
                <w:highlight w:val="none"/>
                <w:lang w:eastAsia="zh-CN"/>
              </w:rPr>
              <w:t>2.根据每月现场质控检查进行评分。</w:t>
            </w:r>
            <w:r>
              <w:rPr>
                <w:rFonts w:hint="eastAsia" w:ascii="宋体" w:hAnsi="宋体" w:eastAsia="宋体" w:cs="宋体"/>
                <w:color w:val="auto"/>
                <w:kern w:val="2"/>
                <w:sz w:val="21"/>
                <w:szCs w:val="21"/>
                <w:highlight w:val="none"/>
                <w:lang w:val="en-US" w:eastAsia="zh-CN"/>
              </w:rPr>
              <w:t>每发现一条存在问题按所在分值的5%扣分。</w:t>
            </w:r>
          </w:p>
        </w:tc>
        <w:tc>
          <w:tcPr>
            <w:tcW w:w="668" w:type="dxa"/>
            <w:noWrap w:val="0"/>
            <w:vAlign w:val="center"/>
          </w:tcPr>
          <w:p w14:paraId="63065801">
            <w:pPr>
              <w:keepNext w:val="0"/>
              <w:keepLines w:val="0"/>
              <w:pageBreakBefore w:val="0"/>
              <w:widowControl w:val="0"/>
              <w:tabs>
                <w:tab w:val="left" w:pos="-1440"/>
                <w:tab w:val="left" w:pos="601"/>
              </w:tabs>
              <w:kinsoku/>
              <w:wordWrap/>
              <w:overflowPunct/>
              <w:topLinePunct w:val="0"/>
              <w:autoSpaceDE/>
              <w:autoSpaceDN/>
              <w:bidi w:val="0"/>
              <w:adjustRightInd/>
              <w:snapToGrid/>
              <w:spacing w:line="360" w:lineRule="auto"/>
              <w:textAlignment w:val="auto"/>
              <w:rPr>
                <w:rFonts w:hint="eastAsia" w:ascii="宋体" w:hAnsi="宋体" w:eastAsia="宋体" w:cs="宋体"/>
                <w:color w:val="auto"/>
                <w:kern w:val="2"/>
                <w:sz w:val="21"/>
                <w:szCs w:val="21"/>
                <w:highlight w:val="none"/>
              </w:rPr>
            </w:pPr>
          </w:p>
        </w:tc>
      </w:tr>
      <w:tr w14:paraId="0FC746D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03" w:type="dxa"/>
            <w:noWrap w:val="0"/>
            <w:vAlign w:val="center"/>
          </w:tcPr>
          <w:p w14:paraId="20A8CE14">
            <w:pPr>
              <w:keepNext w:val="0"/>
              <w:keepLines w:val="0"/>
              <w:pageBreakBefore w:val="0"/>
              <w:widowControl w:val="0"/>
              <w:tabs>
                <w:tab w:val="left" w:pos="-1440"/>
                <w:tab w:val="left" w:pos="601"/>
              </w:tabs>
              <w:kinsoku/>
              <w:wordWrap/>
              <w:overflowPunct/>
              <w:topLinePunct w:val="0"/>
              <w:autoSpaceDE/>
              <w:autoSpaceDN/>
              <w:bidi w:val="0"/>
              <w:adjustRightInd/>
              <w:snapToGrid/>
              <w:spacing w:line="360" w:lineRule="auto"/>
              <w:jc w:val="center"/>
              <w:textAlignment w:val="auto"/>
              <w:rPr>
                <w:rFonts w:hint="eastAsia" w:ascii="宋体" w:hAnsi="宋体" w:eastAsia="宋体" w:cs="宋体"/>
                <w:color w:val="auto"/>
                <w:kern w:val="2"/>
                <w:sz w:val="21"/>
                <w:szCs w:val="21"/>
                <w:highlight w:val="none"/>
              </w:rPr>
            </w:pPr>
            <w:r>
              <w:rPr>
                <w:rFonts w:hint="eastAsia" w:ascii="宋体" w:hAnsi="宋体" w:eastAsia="宋体" w:cs="宋体"/>
                <w:color w:val="auto"/>
                <w:kern w:val="2"/>
                <w:sz w:val="21"/>
                <w:szCs w:val="21"/>
                <w:highlight w:val="none"/>
              </w:rPr>
              <w:t>8</w:t>
            </w:r>
          </w:p>
        </w:tc>
        <w:tc>
          <w:tcPr>
            <w:tcW w:w="1827" w:type="dxa"/>
            <w:noWrap w:val="0"/>
            <w:vAlign w:val="center"/>
          </w:tcPr>
          <w:p w14:paraId="6FE77526">
            <w:pPr>
              <w:keepNext w:val="0"/>
              <w:keepLines w:val="0"/>
              <w:pageBreakBefore w:val="0"/>
              <w:widowControl w:val="0"/>
              <w:tabs>
                <w:tab w:val="left" w:pos="-1440"/>
                <w:tab w:val="left" w:pos="601"/>
              </w:tabs>
              <w:kinsoku/>
              <w:wordWrap/>
              <w:overflowPunct/>
              <w:topLinePunct w:val="0"/>
              <w:autoSpaceDE/>
              <w:autoSpaceDN/>
              <w:bidi w:val="0"/>
              <w:adjustRightInd/>
              <w:snapToGrid/>
              <w:spacing w:line="360" w:lineRule="auto"/>
              <w:jc w:val="center"/>
              <w:textAlignment w:val="auto"/>
              <w:rPr>
                <w:rFonts w:hint="eastAsia" w:ascii="宋体" w:hAnsi="宋体" w:eastAsia="宋体" w:cs="宋体"/>
                <w:color w:val="auto"/>
                <w:kern w:val="2"/>
                <w:sz w:val="21"/>
                <w:szCs w:val="21"/>
                <w:highlight w:val="none"/>
              </w:rPr>
            </w:pPr>
            <w:r>
              <w:rPr>
                <w:rFonts w:hint="eastAsia" w:ascii="宋体" w:hAnsi="宋体" w:eastAsia="宋体" w:cs="宋体"/>
                <w:color w:val="auto"/>
                <w:kern w:val="2"/>
                <w:sz w:val="21"/>
                <w:szCs w:val="21"/>
                <w:highlight w:val="none"/>
              </w:rPr>
              <w:t>应急响应情况</w:t>
            </w:r>
          </w:p>
        </w:tc>
        <w:tc>
          <w:tcPr>
            <w:tcW w:w="2770" w:type="dxa"/>
            <w:noWrap w:val="0"/>
            <w:vAlign w:val="center"/>
          </w:tcPr>
          <w:p w14:paraId="66C10F61">
            <w:pPr>
              <w:keepNext w:val="0"/>
              <w:keepLines w:val="0"/>
              <w:pageBreakBefore w:val="0"/>
              <w:widowControl w:val="0"/>
              <w:tabs>
                <w:tab w:val="left" w:pos="-1440"/>
                <w:tab w:val="left" w:pos="601"/>
              </w:tabs>
              <w:kinsoku/>
              <w:wordWrap/>
              <w:overflowPunct/>
              <w:topLinePunct w:val="0"/>
              <w:autoSpaceDE/>
              <w:autoSpaceDN/>
              <w:bidi w:val="0"/>
              <w:adjustRightInd/>
              <w:snapToGrid/>
              <w:spacing w:line="360" w:lineRule="auto"/>
              <w:textAlignment w:val="auto"/>
              <w:rPr>
                <w:rFonts w:hint="eastAsia" w:ascii="宋体" w:hAnsi="宋体" w:eastAsia="宋体" w:cs="宋体"/>
                <w:color w:val="auto"/>
                <w:kern w:val="2"/>
                <w:sz w:val="21"/>
                <w:szCs w:val="21"/>
                <w:highlight w:val="none"/>
              </w:rPr>
            </w:pPr>
            <w:r>
              <w:rPr>
                <w:rFonts w:hint="eastAsia" w:ascii="宋体" w:hAnsi="宋体" w:eastAsia="宋体" w:cs="宋体"/>
                <w:color w:val="auto"/>
                <w:kern w:val="2"/>
                <w:sz w:val="21"/>
                <w:szCs w:val="21"/>
                <w:highlight w:val="none"/>
                <w:lang w:eastAsia="zh-CN"/>
              </w:rPr>
              <w:t>每次急诊器械急消应及时响应。</w:t>
            </w:r>
          </w:p>
        </w:tc>
        <w:tc>
          <w:tcPr>
            <w:tcW w:w="1020" w:type="dxa"/>
            <w:noWrap w:val="0"/>
            <w:vAlign w:val="center"/>
          </w:tcPr>
          <w:p w14:paraId="23F66693">
            <w:pPr>
              <w:keepNext w:val="0"/>
              <w:keepLines w:val="0"/>
              <w:pageBreakBefore w:val="0"/>
              <w:widowControl w:val="0"/>
              <w:tabs>
                <w:tab w:val="left" w:pos="-1440"/>
                <w:tab w:val="left" w:pos="601"/>
              </w:tabs>
              <w:kinsoku/>
              <w:wordWrap/>
              <w:overflowPunct/>
              <w:topLinePunct w:val="0"/>
              <w:autoSpaceDE/>
              <w:autoSpaceDN/>
              <w:bidi w:val="0"/>
              <w:adjustRightInd/>
              <w:snapToGrid/>
              <w:spacing w:line="360" w:lineRule="auto"/>
              <w:jc w:val="center"/>
              <w:textAlignment w:val="auto"/>
              <w:rPr>
                <w:rFonts w:hint="eastAsia" w:ascii="宋体" w:hAnsi="宋体" w:eastAsia="宋体" w:cs="宋体"/>
                <w:color w:val="auto"/>
                <w:kern w:val="2"/>
                <w:sz w:val="21"/>
                <w:szCs w:val="21"/>
                <w:highlight w:val="none"/>
                <w:lang w:val="en-US" w:eastAsia="zh-CN"/>
              </w:rPr>
            </w:pPr>
            <w:r>
              <w:rPr>
                <w:rFonts w:hint="eastAsia" w:ascii="宋体" w:hAnsi="宋体" w:eastAsia="宋体" w:cs="宋体"/>
                <w:color w:val="auto"/>
                <w:kern w:val="2"/>
                <w:sz w:val="21"/>
                <w:szCs w:val="21"/>
                <w:highlight w:val="none"/>
              </w:rPr>
              <w:t>5</w:t>
            </w:r>
            <w:r>
              <w:rPr>
                <w:rFonts w:hint="eastAsia" w:ascii="宋体" w:hAnsi="宋体" w:eastAsia="宋体" w:cs="宋体"/>
                <w:color w:val="auto"/>
                <w:kern w:val="2"/>
                <w:sz w:val="21"/>
                <w:szCs w:val="21"/>
                <w:highlight w:val="none"/>
                <w:lang w:val="en-US" w:eastAsia="zh-CN"/>
              </w:rPr>
              <w:t>分</w:t>
            </w:r>
          </w:p>
        </w:tc>
        <w:tc>
          <w:tcPr>
            <w:tcW w:w="2066" w:type="dxa"/>
            <w:noWrap w:val="0"/>
            <w:vAlign w:val="center"/>
          </w:tcPr>
          <w:p w14:paraId="0FC4DC9B">
            <w:pPr>
              <w:keepNext w:val="0"/>
              <w:keepLines w:val="0"/>
              <w:pageBreakBefore w:val="0"/>
              <w:widowControl w:val="0"/>
              <w:tabs>
                <w:tab w:val="left" w:pos="-1440"/>
                <w:tab w:val="left" w:pos="601"/>
              </w:tabs>
              <w:kinsoku/>
              <w:wordWrap/>
              <w:overflowPunct/>
              <w:topLinePunct w:val="0"/>
              <w:autoSpaceDE/>
              <w:autoSpaceDN/>
              <w:bidi w:val="0"/>
              <w:adjustRightInd/>
              <w:snapToGrid/>
              <w:spacing w:line="360" w:lineRule="auto"/>
              <w:textAlignment w:val="auto"/>
              <w:rPr>
                <w:rFonts w:hint="default" w:ascii="宋体" w:hAnsi="宋体" w:eastAsia="宋体" w:cs="宋体"/>
                <w:color w:val="auto"/>
                <w:kern w:val="2"/>
                <w:sz w:val="21"/>
                <w:szCs w:val="21"/>
                <w:highlight w:val="none"/>
                <w:lang w:val="en-US"/>
              </w:rPr>
            </w:pPr>
            <w:r>
              <w:rPr>
                <w:rFonts w:hint="eastAsia" w:ascii="宋体" w:hAnsi="宋体" w:eastAsia="宋体" w:cs="宋体"/>
                <w:color w:val="auto"/>
                <w:kern w:val="2"/>
                <w:sz w:val="21"/>
                <w:szCs w:val="21"/>
                <w:highlight w:val="none"/>
                <w:lang w:eastAsia="zh-CN"/>
              </w:rPr>
              <w:t>每出现1次不及时响应扣1分。</w:t>
            </w:r>
          </w:p>
        </w:tc>
        <w:tc>
          <w:tcPr>
            <w:tcW w:w="668" w:type="dxa"/>
            <w:noWrap w:val="0"/>
            <w:vAlign w:val="center"/>
          </w:tcPr>
          <w:p w14:paraId="5598A962">
            <w:pPr>
              <w:keepNext w:val="0"/>
              <w:keepLines w:val="0"/>
              <w:pageBreakBefore w:val="0"/>
              <w:widowControl w:val="0"/>
              <w:tabs>
                <w:tab w:val="left" w:pos="-1440"/>
                <w:tab w:val="left" w:pos="601"/>
              </w:tabs>
              <w:kinsoku/>
              <w:wordWrap/>
              <w:overflowPunct/>
              <w:topLinePunct w:val="0"/>
              <w:autoSpaceDE/>
              <w:autoSpaceDN/>
              <w:bidi w:val="0"/>
              <w:adjustRightInd/>
              <w:snapToGrid/>
              <w:spacing w:line="360" w:lineRule="auto"/>
              <w:textAlignment w:val="auto"/>
              <w:rPr>
                <w:rFonts w:hint="eastAsia" w:ascii="宋体" w:hAnsi="宋体" w:eastAsia="宋体" w:cs="宋体"/>
                <w:color w:val="auto"/>
                <w:kern w:val="2"/>
                <w:sz w:val="21"/>
                <w:szCs w:val="21"/>
                <w:highlight w:val="none"/>
              </w:rPr>
            </w:pPr>
          </w:p>
        </w:tc>
      </w:tr>
      <w:tr w14:paraId="3B47AA7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03" w:type="dxa"/>
            <w:noWrap w:val="0"/>
            <w:vAlign w:val="center"/>
          </w:tcPr>
          <w:p w14:paraId="768193D1">
            <w:pPr>
              <w:keepNext w:val="0"/>
              <w:keepLines w:val="0"/>
              <w:pageBreakBefore w:val="0"/>
              <w:widowControl w:val="0"/>
              <w:tabs>
                <w:tab w:val="left" w:pos="-1440"/>
                <w:tab w:val="left" w:pos="601"/>
              </w:tabs>
              <w:kinsoku/>
              <w:wordWrap/>
              <w:overflowPunct/>
              <w:topLinePunct w:val="0"/>
              <w:autoSpaceDE/>
              <w:autoSpaceDN/>
              <w:bidi w:val="0"/>
              <w:adjustRightInd/>
              <w:snapToGrid/>
              <w:spacing w:line="360" w:lineRule="auto"/>
              <w:jc w:val="center"/>
              <w:textAlignment w:val="auto"/>
              <w:rPr>
                <w:rFonts w:hint="eastAsia" w:ascii="宋体" w:hAnsi="宋体" w:eastAsia="宋体" w:cs="宋体"/>
                <w:color w:val="auto"/>
                <w:kern w:val="2"/>
                <w:sz w:val="21"/>
                <w:szCs w:val="21"/>
                <w:highlight w:val="none"/>
              </w:rPr>
            </w:pPr>
            <w:r>
              <w:rPr>
                <w:rFonts w:hint="eastAsia" w:ascii="宋体" w:hAnsi="宋体" w:eastAsia="宋体" w:cs="宋体"/>
                <w:color w:val="auto"/>
                <w:kern w:val="2"/>
                <w:sz w:val="21"/>
                <w:szCs w:val="21"/>
                <w:highlight w:val="none"/>
              </w:rPr>
              <w:t>9</w:t>
            </w:r>
          </w:p>
        </w:tc>
        <w:tc>
          <w:tcPr>
            <w:tcW w:w="1827" w:type="dxa"/>
            <w:noWrap w:val="0"/>
            <w:vAlign w:val="center"/>
          </w:tcPr>
          <w:p w14:paraId="6E81606B">
            <w:pPr>
              <w:keepNext w:val="0"/>
              <w:keepLines w:val="0"/>
              <w:pageBreakBefore w:val="0"/>
              <w:widowControl w:val="0"/>
              <w:tabs>
                <w:tab w:val="left" w:pos="-1440"/>
                <w:tab w:val="left" w:pos="601"/>
              </w:tabs>
              <w:kinsoku/>
              <w:wordWrap/>
              <w:overflowPunct/>
              <w:topLinePunct w:val="0"/>
              <w:autoSpaceDE/>
              <w:autoSpaceDN/>
              <w:bidi w:val="0"/>
              <w:adjustRightInd/>
              <w:snapToGrid/>
              <w:spacing w:line="360" w:lineRule="auto"/>
              <w:jc w:val="center"/>
              <w:textAlignment w:val="auto"/>
              <w:rPr>
                <w:rFonts w:hint="eastAsia" w:ascii="宋体" w:hAnsi="宋体" w:eastAsia="宋体" w:cs="宋体"/>
                <w:color w:val="auto"/>
                <w:kern w:val="2"/>
                <w:sz w:val="21"/>
                <w:szCs w:val="21"/>
                <w:highlight w:val="none"/>
              </w:rPr>
            </w:pPr>
            <w:r>
              <w:rPr>
                <w:rFonts w:hint="eastAsia" w:ascii="宋体" w:hAnsi="宋体" w:eastAsia="宋体" w:cs="宋体"/>
                <w:color w:val="auto"/>
                <w:kern w:val="2"/>
                <w:sz w:val="21"/>
                <w:szCs w:val="21"/>
                <w:highlight w:val="none"/>
              </w:rPr>
              <w:t>满意度情况</w:t>
            </w:r>
          </w:p>
        </w:tc>
        <w:tc>
          <w:tcPr>
            <w:tcW w:w="2770" w:type="dxa"/>
            <w:noWrap w:val="0"/>
            <w:vAlign w:val="center"/>
          </w:tcPr>
          <w:p w14:paraId="2B56D617">
            <w:pPr>
              <w:keepNext w:val="0"/>
              <w:keepLines w:val="0"/>
              <w:pageBreakBefore w:val="0"/>
              <w:widowControl w:val="0"/>
              <w:tabs>
                <w:tab w:val="left" w:pos="-1440"/>
                <w:tab w:val="left" w:pos="601"/>
              </w:tabs>
              <w:kinsoku/>
              <w:wordWrap/>
              <w:overflowPunct/>
              <w:topLinePunct w:val="0"/>
              <w:autoSpaceDE/>
              <w:autoSpaceDN/>
              <w:bidi w:val="0"/>
              <w:adjustRightInd/>
              <w:snapToGrid/>
              <w:spacing w:line="360" w:lineRule="auto"/>
              <w:textAlignment w:val="auto"/>
              <w:rPr>
                <w:rFonts w:hint="eastAsia" w:ascii="宋体" w:hAnsi="宋体" w:eastAsia="宋体" w:cs="宋体"/>
                <w:color w:val="auto"/>
                <w:kern w:val="2"/>
                <w:sz w:val="21"/>
                <w:szCs w:val="21"/>
                <w:highlight w:val="none"/>
              </w:rPr>
            </w:pPr>
            <w:r>
              <w:rPr>
                <w:rFonts w:hint="eastAsia" w:ascii="宋体" w:hAnsi="宋体" w:eastAsia="宋体" w:cs="宋体"/>
                <w:color w:val="auto"/>
                <w:kern w:val="2"/>
                <w:sz w:val="21"/>
                <w:szCs w:val="21"/>
                <w:highlight w:val="none"/>
                <w:lang w:eastAsia="zh-CN"/>
              </w:rPr>
              <w:t>每季度发放调查问卷，满意度的评分应达到90%及以上。针对问卷中突出问题对科室进行回访。</w:t>
            </w:r>
          </w:p>
        </w:tc>
        <w:tc>
          <w:tcPr>
            <w:tcW w:w="1020" w:type="dxa"/>
            <w:noWrap w:val="0"/>
            <w:vAlign w:val="center"/>
          </w:tcPr>
          <w:p w14:paraId="54CCD480">
            <w:pPr>
              <w:keepNext w:val="0"/>
              <w:keepLines w:val="0"/>
              <w:pageBreakBefore w:val="0"/>
              <w:widowControl w:val="0"/>
              <w:tabs>
                <w:tab w:val="left" w:pos="-1440"/>
                <w:tab w:val="left" w:pos="601"/>
              </w:tabs>
              <w:kinsoku/>
              <w:wordWrap/>
              <w:overflowPunct/>
              <w:topLinePunct w:val="0"/>
              <w:autoSpaceDE/>
              <w:autoSpaceDN/>
              <w:bidi w:val="0"/>
              <w:adjustRightInd/>
              <w:snapToGrid/>
              <w:spacing w:line="360" w:lineRule="auto"/>
              <w:jc w:val="center"/>
              <w:textAlignment w:val="auto"/>
              <w:rPr>
                <w:rFonts w:hint="eastAsia" w:ascii="宋体" w:hAnsi="宋体" w:eastAsia="宋体" w:cs="宋体"/>
                <w:color w:val="auto"/>
                <w:kern w:val="2"/>
                <w:sz w:val="21"/>
                <w:szCs w:val="21"/>
                <w:highlight w:val="none"/>
                <w:lang w:val="en-US" w:eastAsia="zh-CN"/>
              </w:rPr>
            </w:pPr>
            <w:r>
              <w:rPr>
                <w:rFonts w:hint="eastAsia" w:ascii="宋体" w:hAnsi="宋体" w:eastAsia="宋体" w:cs="宋体"/>
                <w:color w:val="auto"/>
                <w:kern w:val="2"/>
                <w:sz w:val="21"/>
                <w:szCs w:val="21"/>
                <w:highlight w:val="none"/>
              </w:rPr>
              <w:t>10</w:t>
            </w:r>
            <w:r>
              <w:rPr>
                <w:rFonts w:hint="eastAsia" w:ascii="宋体" w:hAnsi="宋体" w:eastAsia="宋体" w:cs="宋体"/>
                <w:color w:val="auto"/>
                <w:kern w:val="2"/>
                <w:sz w:val="21"/>
                <w:szCs w:val="21"/>
                <w:highlight w:val="none"/>
                <w:lang w:val="en-US" w:eastAsia="zh-CN"/>
              </w:rPr>
              <w:t>分</w:t>
            </w:r>
          </w:p>
        </w:tc>
        <w:tc>
          <w:tcPr>
            <w:tcW w:w="2066" w:type="dxa"/>
            <w:noWrap w:val="0"/>
            <w:vAlign w:val="center"/>
          </w:tcPr>
          <w:p w14:paraId="59CBF035">
            <w:pPr>
              <w:keepNext w:val="0"/>
              <w:keepLines w:val="0"/>
              <w:pageBreakBefore w:val="0"/>
              <w:widowControl w:val="0"/>
              <w:tabs>
                <w:tab w:val="left" w:pos="-1440"/>
                <w:tab w:val="left" w:pos="601"/>
              </w:tabs>
              <w:kinsoku/>
              <w:wordWrap/>
              <w:overflowPunct/>
              <w:topLinePunct w:val="0"/>
              <w:autoSpaceDE/>
              <w:autoSpaceDN/>
              <w:bidi w:val="0"/>
              <w:adjustRightInd/>
              <w:snapToGrid/>
              <w:spacing w:line="360" w:lineRule="auto"/>
              <w:textAlignment w:val="auto"/>
              <w:rPr>
                <w:rFonts w:hint="eastAsia" w:ascii="宋体" w:hAnsi="宋体" w:eastAsia="宋体" w:cs="宋体"/>
                <w:color w:val="auto"/>
                <w:kern w:val="2"/>
                <w:sz w:val="21"/>
                <w:szCs w:val="21"/>
                <w:highlight w:val="none"/>
              </w:rPr>
            </w:pPr>
            <w:r>
              <w:rPr>
                <w:rFonts w:hint="eastAsia" w:ascii="宋体" w:hAnsi="宋体" w:eastAsia="宋体" w:cs="宋体"/>
                <w:color w:val="auto"/>
                <w:kern w:val="2"/>
                <w:sz w:val="21"/>
                <w:szCs w:val="21"/>
                <w:highlight w:val="none"/>
                <w:lang w:eastAsia="zh-CN"/>
              </w:rPr>
              <w:t>满意度标准为90%，每少</w:t>
            </w:r>
            <w:r>
              <w:rPr>
                <w:rFonts w:hint="eastAsia" w:ascii="宋体" w:hAnsi="宋体" w:eastAsia="宋体" w:cs="宋体"/>
                <w:color w:val="auto"/>
                <w:kern w:val="2"/>
                <w:sz w:val="21"/>
                <w:szCs w:val="21"/>
                <w:highlight w:val="none"/>
                <w:lang w:val="en-US" w:eastAsia="zh-CN"/>
              </w:rPr>
              <w:t>1</w:t>
            </w:r>
            <w:r>
              <w:rPr>
                <w:rFonts w:hint="eastAsia" w:ascii="宋体" w:hAnsi="宋体" w:eastAsia="宋体" w:cs="宋体"/>
                <w:color w:val="auto"/>
                <w:kern w:val="2"/>
                <w:sz w:val="21"/>
                <w:szCs w:val="21"/>
                <w:highlight w:val="none"/>
                <w:lang w:eastAsia="zh-CN"/>
              </w:rPr>
              <w:t>%扣0.3分。</w:t>
            </w:r>
          </w:p>
        </w:tc>
        <w:tc>
          <w:tcPr>
            <w:tcW w:w="668" w:type="dxa"/>
            <w:noWrap w:val="0"/>
            <w:vAlign w:val="center"/>
          </w:tcPr>
          <w:p w14:paraId="6F419EAD">
            <w:pPr>
              <w:keepNext w:val="0"/>
              <w:keepLines w:val="0"/>
              <w:pageBreakBefore w:val="0"/>
              <w:widowControl w:val="0"/>
              <w:tabs>
                <w:tab w:val="left" w:pos="-1440"/>
                <w:tab w:val="left" w:pos="601"/>
              </w:tabs>
              <w:kinsoku/>
              <w:wordWrap/>
              <w:overflowPunct/>
              <w:topLinePunct w:val="0"/>
              <w:autoSpaceDE/>
              <w:autoSpaceDN/>
              <w:bidi w:val="0"/>
              <w:adjustRightInd/>
              <w:snapToGrid/>
              <w:spacing w:line="360" w:lineRule="auto"/>
              <w:textAlignment w:val="auto"/>
              <w:rPr>
                <w:rFonts w:hint="eastAsia" w:ascii="宋体" w:hAnsi="宋体" w:eastAsia="宋体" w:cs="宋体"/>
                <w:color w:val="auto"/>
                <w:kern w:val="2"/>
                <w:sz w:val="21"/>
                <w:szCs w:val="21"/>
                <w:highlight w:val="none"/>
              </w:rPr>
            </w:pPr>
          </w:p>
        </w:tc>
      </w:tr>
      <w:tr w14:paraId="40550E8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413" w:hRule="atLeast"/>
          <w:jc w:val="center"/>
        </w:trPr>
        <w:tc>
          <w:tcPr>
            <w:tcW w:w="703" w:type="dxa"/>
            <w:noWrap w:val="0"/>
            <w:vAlign w:val="center"/>
          </w:tcPr>
          <w:p w14:paraId="34145090">
            <w:pPr>
              <w:keepNext w:val="0"/>
              <w:keepLines w:val="0"/>
              <w:pageBreakBefore w:val="0"/>
              <w:widowControl w:val="0"/>
              <w:tabs>
                <w:tab w:val="left" w:pos="-1440"/>
                <w:tab w:val="left" w:pos="601"/>
              </w:tabs>
              <w:kinsoku/>
              <w:wordWrap/>
              <w:overflowPunct/>
              <w:topLinePunct w:val="0"/>
              <w:autoSpaceDE/>
              <w:autoSpaceDN/>
              <w:bidi w:val="0"/>
              <w:adjustRightInd/>
              <w:snapToGrid/>
              <w:spacing w:line="360" w:lineRule="auto"/>
              <w:jc w:val="center"/>
              <w:textAlignment w:val="auto"/>
              <w:rPr>
                <w:rFonts w:hint="eastAsia" w:ascii="宋体" w:hAnsi="宋体" w:eastAsia="宋体" w:cs="宋体"/>
                <w:color w:val="auto"/>
                <w:kern w:val="2"/>
                <w:sz w:val="21"/>
                <w:szCs w:val="21"/>
                <w:highlight w:val="none"/>
              </w:rPr>
            </w:pPr>
            <w:r>
              <w:rPr>
                <w:rFonts w:hint="eastAsia" w:ascii="宋体" w:hAnsi="宋体" w:eastAsia="宋体" w:cs="宋体"/>
                <w:color w:val="auto"/>
                <w:kern w:val="2"/>
                <w:sz w:val="21"/>
                <w:szCs w:val="21"/>
                <w:highlight w:val="none"/>
              </w:rPr>
              <w:t>10</w:t>
            </w:r>
          </w:p>
        </w:tc>
        <w:tc>
          <w:tcPr>
            <w:tcW w:w="1827" w:type="dxa"/>
            <w:noWrap w:val="0"/>
            <w:vAlign w:val="center"/>
          </w:tcPr>
          <w:p w14:paraId="68646E9D">
            <w:pPr>
              <w:keepNext w:val="0"/>
              <w:keepLines w:val="0"/>
              <w:pageBreakBefore w:val="0"/>
              <w:widowControl w:val="0"/>
              <w:tabs>
                <w:tab w:val="left" w:pos="-1440"/>
                <w:tab w:val="left" w:pos="601"/>
              </w:tabs>
              <w:kinsoku/>
              <w:wordWrap/>
              <w:overflowPunct/>
              <w:topLinePunct w:val="0"/>
              <w:autoSpaceDE/>
              <w:autoSpaceDN/>
              <w:bidi w:val="0"/>
              <w:adjustRightInd/>
              <w:snapToGrid/>
              <w:spacing w:line="360" w:lineRule="auto"/>
              <w:jc w:val="center"/>
              <w:textAlignment w:val="auto"/>
              <w:rPr>
                <w:rFonts w:hint="eastAsia" w:ascii="宋体" w:hAnsi="宋体" w:eastAsia="宋体" w:cs="宋体"/>
                <w:color w:val="auto"/>
                <w:kern w:val="2"/>
                <w:sz w:val="21"/>
                <w:szCs w:val="21"/>
                <w:highlight w:val="none"/>
              </w:rPr>
            </w:pPr>
            <w:r>
              <w:rPr>
                <w:rFonts w:hint="eastAsia" w:ascii="宋体" w:hAnsi="宋体" w:eastAsia="宋体" w:cs="宋体"/>
                <w:color w:val="auto"/>
                <w:kern w:val="2"/>
                <w:sz w:val="21"/>
                <w:szCs w:val="21"/>
                <w:highlight w:val="none"/>
              </w:rPr>
              <w:t>投诉情况</w:t>
            </w:r>
          </w:p>
        </w:tc>
        <w:tc>
          <w:tcPr>
            <w:tcW w:w="2770" w:type="dxa"/>
            <w:noWrap w:val="0"/>
            <w:vAlign w:val="center"/>
          </w:tcPr>
          <w:p w14:paraId="0B8969ED">
            <w:pPr>
              <w:keepNext w:val="0"/>
              <w:keepLines w:val="0"/>
              <w:pageBreakBefore w:val="0"/>
              <w:widowControl w:val="0"/>
              <w:tabs>
                <w:tab w:val="left" w:pos="-1440"/>
                <w:tab w:val="left" w:pos="601"/>
              </w:tabs>
              <w:kinsoku/>
              <w:wordWrap/>
              <w:overflowPunct/>
              <w:topLinePunct w:val="0"/>
              <w:autoSpaceDE/>
              <w:autoSpaceDN/>
              <w:bidi w:val="0"/>
              <w:adjustRightInd/>
              <w:snapToGrid/>
              <w:spacing w:line="360" w:lineRule="auto"/>
              <w:textAlignment w:val="auto"/>
              <w:rPr>
                <w:rFonts w:hint="eastAsia" w:ascii="宋体" w:hAnsi="宋体" w:eastAsia="宋体" w:cs="宋体"/>
                <w:color w:val="auto"/>
                <w:kern w:val="2"/>
                <w:sz w:val="21"/>
                <w:szCs w:val="21"/>
                <w:highlight w:val="none"/>
              </w:rPr>
            </w:pPr>
            <w:r>
              <w:rPr>
                <w:rFonts w:hint="eastAsia" w:ascii="宋体" w:hAnsi="宋体" w:eastAsia="宋体" w:cs="宋体"/>
                <w:color w:val="auto"/>
                <w:kern w:val="2"/>
                <w:sz w:val="21"/>
                <w:szCs w:val="21"/>
                <w:highlight w:val="none"/>
                <w:lang w:eastAsia="zh-CN"/>
              </w:rPr>
              <w:t>有效投诉（属服务范围内的），科室提出意见，1小时内需反馈结果。</w:t>
            </w:r>
          </w:p>
        </w:tc>
        <w:tc>
          <w:tcPr>
            <w:tcW w:w="1020" w:type="dxa"/>
            <w:noWrap w:val="0"/>
            <w:vAlign w:val="center"/>
          </w:tcPr>
          <w:p w14:paraId="4303A5C8">
            <w:pPr>
              <w:keepNext w:val="0"/>
              <w:keepLines w:val="0"/>
              <w:pageBreakBefore w:val="0"/>
              <w:widowControl w:val="0"/>
              <w:tabs>
                <w:tab w:val="left" w:pos="-1440"/>
                <w:tab w:val="left" w:pos="601"/>
              </w:tabs>
              <w:kinsoku/>
              <w:wordWrap/>
              <w:overflowPunct/>
              <w:topLinePunct w:val="0"/>
              <w:autoSpaceDE/>
              <w:autoSpaceDN/>
              <w:bidi w:val="0"/>
              <w:adjustRightInd/>
              <w:snapToGrid/>
              <w:spacing w:line="360" w:lineRule="auto"/>
              <w:jc w:val="center"/>
              <w:textAlignment w:val="auto"/>
              <w:rPr>
                <w:rFonts w:hint="eastAsia" w:ascii="宋体" w:hAnsi="宋体" w:eastAsia="宋体" w:cs="宋体"/>
                <w:color w:val="auto"/>
                <w:kern w:val="2"/>
                <w:sz w:val="21"/>
                <w:szCs w:val="21"/>
                <w:highlight w:val="none"/>
                <w:lang w:val="en-US" w:eastAsia="zh-CN"/>
              </w:rPr>
            </w:pPr>
            <w:r>
              <w:rPr>
                <w:rFonts w:hint="eastAsia" w:ascii="宋体" w:hAnsi="宋体" w:eastAsia="宋体" w:cs="宋体"/>
                <w:color w:val="auto"/>
                <w:kern w:val="2"/>
                <w:sz w:val="21"/>
                <w:szCs w:val="21"/>
                <w:highlight w:val="none"/>
              </w:rPr>
              <w:t>5</w:t>
            </w:r>
            <w:r>
              <w:rPr>
                <w:rFonts w:hint="eastAsia" w:ascii="宋体" w:hAnsi="宋体" w:eastAsia="宋体" w:cs="宋体"/>
                <w:color w:val="auto"/>
                <w:kern w:val="2"/>
                <w:sz w:val="21"/>
                <w:szCs w:val="21"/>
                <w:highlight w:val="none"/>
                <w:lang w:val="en-US" w:eastAsia="zh-CN"/>
              </w:rPr>
              <w:t>分</w:t>
            </w:r>
          </w:p>
        </w:tc>
        <w:tc>
          <w:tcPr>
            <w:tcW w:w="2066" w:type="dxa"/>
            <w:noWrap w:val="0"/>
            <w:vAlign w:val="center"/>
          </w:tcPr>
          <w:p w14:paraId="44D1EBC5">
            <w:pPr>
              <w:keepNext w:val="0"/>
              <w:keepLines w:val="0"/>
              <w:pageBreakBefore w:val="0"/>
              <w:widowControl w:val="0"/>
              <w:tabs>
                <w:tab w:val="left" w:pos="-1440"/>
                <w:tab w:val="left" w:pos="601"/>
              </w:tabs>
              <w:kinsoku/>
              <w:wordWrap/>
              <w:overflowPunct/>
              <w:topLinePunct w:val="0"/>
              <w:autoSpaceDE/>
              <w:autoSpaceDN/>
              <w:bidi w:val="0"/>
              <w:adjustRightInd/>
              <w:snapToGrid/>
              <w:spacing w:line="360" w:lineRule="auto"/>
              <w:textAlignment w:val="auto"/>
              <w:rPr>
                <w:rFonts w:hint="eastAsia" w:ascii="宋体" w:hAnsi="宋体" w:eastAsia="宋体" w:cs="宋体"/>
                <w:color w:val="auto"/>
                <w:kern w:val="2"/>
                <w:sz w:val="21"/>
                <w:szCs w:val="21"/>
                <w:highlight w:val="none"/>
              </w:rPr>
            </w:pPr>
            <w:r>
              <w:rPr>
                <w:rFonts w:hint="eastAsia" w:ascii="宋体" w:hAnsi="宋体" w:eastAsia="宋体" w:cs="宋体"/>
                <w:color w:val="auto"/>
                <w:kern w:val="2"/>
                <w:sz w:val="21"/>
                <w:szCs w:val="21"/>
                <w:highlight w:val="none"/>
                <w:lang w:eastAsia="zh-CN"/>
              </w:rPr>
              <w:t>未按规定时间内反馈一次扣1分。</w:t>
            </w:r>
          </w:p>
        </w:tc>
        <w:tc>
          <w:tcPr>
            <w:tcW w:w="668" w:type="dxa"/>
            <w:noWrap w:val="0"/>
            <w:vAlign w:val="center"/>
          </w:tcPr>
          <w:p w14:paraId="086FF83F">
            <w:pPr>
              <w:keepNext w:val="0"/>
              <w:keepLines w:val="0"/>
              <w:pageBreakBefore w:val="0"/>
              <w:widowControl w:val="0"/>
              <w:tabs>
                <w:tab w:val="left" w:pos="-1440"/>
                <w:tab w:val="left" w:pos="601"/>
              </w:tabs>
              <w:kinsoku/>
              <w:wordWrap/>
              <w:overflowPunct/>
              <w:topLinePunct w:val="0"/>
              <w:autoSpaceDE/>
              <w:autoSpaceDN/>
              <w:bidi w:val="0"/>
              <w:adjustRightInd/>
              <w:snapToGrid/>
              <w:spacing w:line="360" w:lineRule="auto"/>
              <w:textAlignment w:val="auto"/>
              <w:rPr>
                <w:rFonts w:hint="eastAsia" w:ascii="宋体" w:hAnsi="宋体" w:eastAsia="宋体" w:cs="宋体"/>
                <w:color w:val="auto"/>
                <w:kern w:val="2"/>
                <w:sz w:val="21"/>
                <w:szCs w:val="21"/>
                <w:highlight w:val="none"/>
              </w:rPr>
            </w:pPr>
          </w:p>
        </w:tc>
      </w:tr>
      <w:tr w14:paraId="77A9C69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5" w:hRule="atLeast"/>
          <w:jc w:val="center"/>
        </w:trPr>
        <w:tc>
          <w:tcPr>
            <w:tcW w:w="703" w:type="dxa"/>
            <w:noWrap w:val="0"/>
            <w:vAlign w:val="center"/>
          </w:tcPr>
          <w:p w14:paraId="323138C6">
            <w:pPr>
              <w:keepNext w:val="0"/>
              <w:keepLines w:val="0"/>
              <w:pageBreakBefore w:val="0"/>
              <w:widowControl w:val="0"/>
              <w:tabs>
                <w:tab w:val="left" w:pos="-1440"/>
                <w:tab w:val="left" w:pos="601"/>
              </w:tabs>
              <w:kinsoku/>
              <w:wordWrap/>
              <w:overflowPunct/>
              <w:topLinePunct w:val="0"/>
              <w:autoSpaceDE/>
              <w:autoSpaceDN/>
              <w:bidi w:val="0"/>
              <w:adjustRightInd/>
              <w:snapToGrid/>
              <w:spacing w:line="360" w:lineRule="auto"/>
              <w:jc w:val="center"/>
              <w:textAlignment w:val="auto"/>
              <w:rPr>
                <w:rFonts w:hint="eastAsia" w:ascii="宋体" w:hAnsi="宋体" w:eastAsia="宋体" w:cs="宋体"/>
                <w:color w:val="auto"/>
                <w:kern w:val="2"/>
                <w:sz w:val="21"/>
                <w:szCs w:val="21"/>
                <w:highlight w:val="none"/>
              </w:rPr>
            </w:pPr>
            <w:r>
              <w:rPr>
                <w:rFonts w:hint="eastAsia" w:ascii="宋体" w:hAnsi="宋体" w:eastAsia="宋体" w:cs="宋体"/>
                <w:color w:val="auto"/>
                <w:kern w:val="2"/>
                <w:sz w:val="21"/>
                <w:szCs w:val="21"/>
                <w:highlight w:val="none"/>
              </w:rPr>
              <w:t>11</w:t>
            </w:r>
          </w:p>
        </w:tc>
        <w:tc>
          <w:tcPr>
            <w:tcW w:w="1827" w:type="dxa"/>
            <w:noWrap w:val="0"/>
            <w:vAlign w:val="center"/>
          </w:tcPr>
          <w:p w14:paraId="7A87D290">
            <w:pPr>
              <w:keepNext w:val="0"/>
              <w:keepLines w:val="0"/>
              <w:pageBreakBefore w:val="0"/>
              <w:widowControl w:val="0"/>
              <w:tabs>
                <w:tab w:val="left" w:pos="-1440"/>
                <w:tab w:val="left" w:pos="601"/>
              </w:tabs>
              <w:kinsoku/>
              <w:wordWrap/>
              <w:overflowPunct/>
              <w:topLinePunct w:val="0"/>
              <w:autoSpaceDE/>
              <w:autoSpaceDN/>
              <w:bidi w:val="0"/>
              <w:adjustRightInd/>
              <w:snapToGrid/>
              <w:spacing w:line="360" w:lineRule="auto"/>
              <w:jc w:val="center"/>
              <w:textAlignment w:val="auto"/>
              <w:rPr>
                <w:rFonts w:hint="eastAsia" w:ascii="宋体" w:hAnsi="宋体" w:eastAsia="宋体" w:cs="宋体"/>
                <w:color w:val="auto"/>
                <w:kern w:val="2"/>
                <w:sz w:val="21"/>
                <w:szCs w:val="21"/>
                <w:highlight w:val="none"/>
              </w:rPr>
            </w:pPr>
            <w:r>
              <w:rPr>
                <w:rFonts w:hint="eastAsia" w:ascii="宋体" w:hAnsi="宋体" w:eastAsia="宋体" w:cs="宋体"/>
                <w:color w:val="auto"/>
                <w:kern w:val="2"/>
                <w:sz w:val="21"/>
                <w:szCs w:val="21"/>
                <w:highlight w:val="none"/>
              </w:rPr>
              <w:t>整改情况</w:t>
            </w:r>
          </w:p>
        </w:tc>
        <w:tc>
          <w:tcPr>
            <w:tcW w:w="2770" w:type="dxa"/>
            <w:noWrap w:val="0"/>
            <w:vAlign w:val="center"/>
          </w:tcPr>
          <w:p w14:paraId="5E84DE44">
            <w:pPr>
              <w:keepNext w:val="0"/>
              <w:keepLines w:val="0"/>
              <w:pageBreakBefore w:val="0"/>
              <w:widowControl w:val="0"/>
              <w:tabs>
                <w:tab w:val="left" w:pos="-1440"/>
                <w:tab w:val="left" w:pos="601"/>
              </w:tabs>
              <w:kinsoku/>
              <w:wordWrap/>
              <w:overflowPunct/>
              <w:topLinePunct w:val="0"/>
              <w:autoSpaceDE/>
              <w:autoSpaceDN/>
              <w:bidi w:val="0"/>
              <w:adjustRightInd/>
              <w:snapToGrid/>
              <w:spacing w:line="360" w:lineRule="auto"/>
              <w:textAlignment w:val="auto"/>
              <w:rPr>
                <w:rFonts w:hint="eastAsia" w:ascii="宋体" w:hAnsi="宋体" w:eastAsia="宋体" w:cs="宋体"/>
                <w:color w:val="auto"/>
                <w:kern w:val="2"/>
                <w:sz w:val="21"/>
                <w:szCs w:val="21"/>
                <w:highlight w:val="none"/>
              </w:rPr>
            </w:pPr>
            <w:r>
              <w:rPr>
                <w:rFonts w:hint="eastAsia" w:ascii="宋体" w:hAnsi="宋体" w:eastAsia="宋体" w:cs="宋体"/>
                <w:color w:val="auto"/>
                <w:kern w:val="2"/>
                <w:sz w:val="21"/>
                <w:szCs w:val="21"/>
                <w:highlight w:val="none"/>
                <w:lang w:eastAsia="zh-CN"/>
              </w:rPr>
              <w:t>按规定进行整改，效果评价由</w:t>
            </w:r>
            <w:r>
              <w:rPr>
                <w:rFonts w:hint="eastAsia" w:ascii="宋体" w:hAnsi="宋体" w:eastAsia="宋体" w:cs="宋体"/>
                <w:color w:val="auto"/>
                <w:kern w:val="2"/>
                <w:sz w:val="21"/>
                <w:szCs w:val="21"/>
                <w:highlight w:val="none"/>
                <w:lang w:val="en-US" w:eastAsia="zh-CN"/>
              </w:rPr>
              <w:t>采购人相关科室或者相关代表</w:t>
            </w:r>
            <w:r>
              <w:rPr>
                <w:rFonts w:hint="eastAsia" w:ascii="宋体" w:hAnsi="宋体" w:eastAsia="宋体" w:cs="宋体"/>
                <w:color w:val="auto"/>
                <w:kern w:val="2"/>
                <w:sz w:val="21"/>
                <w:szCs w:val="21"/>
                <w:highlight w:val="none"/>
                <w:lang w:eastAsia="zh-CN"/>
              </w:rPr>
              <w:t>签字确认。</w:t>
            </w:r>
          </w:p>
        </w:tc>
        <w:tc>
          <w:tcPr>
            <w:tcW w:w="1020" w:type="dxa"/>
            <w:noWrap w:val="0"/>
            <w:vAlign w:val="center"/>
          </w:tcPr>
          <w:p w14:paraId="6F672BB5">
            <w:pPr>
              <w:keepNext w:val="0"/>
              <w:keepLines w:val="0"/>
              <w:pageBreakBefore w:val="0"/>
              <w:widowControl w:val="0"/>
              <w:tabs>
                <w:tab w:val="left" w:pos="-1440"/>
                <w:tab w:val="left" w:pos="601"/>
              </w:tabs>
              <w:kinsoku/>
              <w:wordWrap/>
              <w:overflowPunct/>
              <w:topLinePunct w:val="0"/>
              <w:autoSpaceDE/>
              <w:autoSpaceDN/>
              <w:bidi w:val="0"/>
              <w:adjustRightInd/>
              <w:snapToGrid/>
              <w:spacing w:line="360" w:lineRule="auto"/>
              <w:jc w:val="center"/>
              <w:textAlignment w:val="auto"/>
              <w:rPr>
                <w:rFonts w:hint="eastAsia" w:ascii="宋体" w:hAnsi="宋体" w:eastAsia="宋体" w:cs="宋体"/>
                <w:color w:val="auto"/>
                <w:kern w:val="2"/>
                <w:sz w:val="21"/>
                <w:szCs w:val="21"/>
                <w:highlight w:val="none"/>
              </w:rPr>
            </w:pPr>
            <w:r>
              <w:rPr>
                <w:rFonts w:hint="eastAsia" w:ascii="宋体" w:hAnsi="宋体" w:eastAsia="宋体" w:cs="宋体"/>
                <w:color w:val="auto"/>
                <w:kern w:val="2"/>
                <w:sz w:val="21"/>
                <w:szCs w:val="21"/>
                <w:highlight w:val="none"/>
              </w:rPr>
              <w:t>5</w:t>
            </w:r>
            <w:r>
              <w:rPr>
                <w:rFonts w:hint="eastAsia" w:ascii="宋体" w:hAnsi="宋体" w:eastAsia="宋体" w:cs="宋体"/>
                <w:color w:val="auto"/>
                <w:kern w:val="2"/>
                <w:sz w:val="21"/>
                <w:szCs w:val="21"/>
                <w:highlight w:val="none"/>
                <w:lang w:val="en-US" w:eastAsia="zh-CN"/>
              </w:rPr>
              <w:t>分</w:t>
            </w:r>
          </w:p>
        </w:tc>
        <w:tc>
          <w:tcPr>
            <w:tcW w:w="2066" w:type="dxa"/>
            <w:noWrap w:val="0"/>
            <w:vAlign w:val="center"/>
          </w:tcPr>
          <w:p w14:paraId="0E1C26D5">
            <w:pPr>
              <w:keepNext w:val="0"/>
              <w:keepLines w:val="0"/>
              <w:pageBreakBefore w:val="0"/>
              <w:widowControl w:val="0"/>
              <w:tabs>
                <w:tab w:val="left" w:pos="-1440"/>
                <w:tab w:val="left" w:pos="601"/>
              </w:tabs>
              <w:kinsoku/>
              <w:wordWrap/>
              <w:overflowPunct/>
              <w:topLinePunct w:val="0"/>
              <w:autoSpaceDE/>
              <w:autoSpaceDN/>
              <w:bidi w:val="0"/>
              <w:adjustRightInd/>
              <w:snapToGrid/>
              <w:spacing w:line="360" w:lineRule="auto"/>
              <w:textAlignment w:val="auto"/>
              <w:rPr>
                <w:rFonts w:hint="eastAsia" w:ascii="宋体" w:hAnsi="宋体" w:eastAsia="宋体" w:cs="宋体"/>
                <w:color w:val="auto"/>
                <w:kern w:val="2"/>
                <w:sz w:val="21"/>
                <w:szCs w:val="21"/>
                <w:highlight w:val="none"/>
              </w:rPr>
            </w:pPr>
            <w:r>
              <w:rPr>
                <w:rFonts w:hint="eastAsia" w:ascii="宋体" w:hAnsi="宋体" w:eastAsia="宋体" w:cs="宋体"/>
                <w:color w:val="auto"/>
                <w:kern w:val="2"/>
                <w:sz w:val="21"/>
                <w:szCs w:val="21"/>
                <w:highlight w:val="none"/>
                <w:lang w:eastAsia="zh-CN"/>
              </w:rPr>
              <w:t>未按规定整改一次扣1分。</w:t>
            </w:r>
          </w:p>
        </w:tc>
        <w:tc>
          <w:tcPr>
            <w:tcW w:w="668" w:type="dxa"/>
            <w:noWrap w:val="0"/>
            <w:vAlign w:val="center"/>
          </w:tcPr>
          <w:p w14:paraId="5B1CAC1F">
            <w:pPr>
              <w:keepNext w:val="0"/>
              <w:keepLines w:val="0"/>
              <w:pageBreakBefore w:val="0"/>
              <w:widowControl w:val="0"/>
              <w:tabs>
                <w:tab w:val="left" w:pos="-1440"/>
                <w:tab w:val="left" w:pos="601"/>
              </w:tabs>
              <w:kinsoku/>
              <w:wordWrap/>
              <w:overflowPunct/>
              <w:topLinePunct w:val="0"/>
              <w:autoSpaceDE/>
              <w:autoSpaceDN/>
              <w:bidi w:val="0"/>
              <w:adjustRightInd/>
              <w:snapToGrid/>
              <w:spacing w:line="360" w:lineRule="auto"/>
              <w:textAlignment w:val="auto"/>
              <w:rPr>
                <w:rFonts w:hint="eastAsia" w:ascii="宋体" w:hAnsi="宋体" w:eastAsia="宋体" w:cs="宋体"/>
                <w:color w:val="auto"/>
                <w:kern w:val="2"/>
                <w:sz w:val="21"/>
                <w:szCs w:val="21"/>
                <w:highlight w:val="none"/>
              </w:rPr>
            </w:pPr>
          </w:p>
        </w:tc>
      </w:tr>
      <w:tr w14:paraId="51556AD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5" w:hRule="atLeast"/>
          <w:jc w:val="center"/>
        </w:trPr>
        <w:tc>
          <w:tcPr>
            <w:tcW w:w="5300" w:type="dxa"/>
            <w:gridSpan w:val="3"/>
            <w:noWrap w:val="0"/>
            <w:vAlign w:val="center"/>
          </w:tcPr>
          <w:p w14:paraId="4007A892">
            <w:pPr>
              <w:keepNext w:val="0"/>
              <w:keepLines w:val="0"/>
              <w:pageBreakBefore w:val="0"/>
              <w:widowControl w:val="0"/>
              <w:tabs>
                <w:tab w:val="left" w:pos="-1440"/>
                <w:tab w:val="left" w:pos="601"/>
              </w:tabs>
              <w:kinsoku/>
              <w:wordWrap/>
              <w:overflowPunct/>
              <w:topLinePunct w:val="0"/>
              <w:autoSpaceDE/>
              <w:autoSpaceDN/>
              <w:bidi w:val="0"/>
              <w:adjustRightInd/>
              <w:snapToGrid/>
              <w:spacing w:line="360" w:lineRule="auto"/>
              <w:jc w:val="center"/>
              <w:textAlignment w:val="auto"/>
              <w:rPr>
                <w:rFonts w:hint="default" w:ascii="宋体" w:hAnsi="宋体" w:eastAsia="宋体" w:cs="宋体"/>
                <w:color w:val="auto"/>
                <w:kern w:val="2"/>
                <w:sz w:val="21"/>
                <w:szCs w:val="21"/>
                <w:highlight w:val="none"/>
                <w:lang w:val="en-US" w:eastAsia="zh-CN"/>
              </w:rPr>
            </w:pPr>
            <w:r>
              <w:rPr>
                <w:rFonts w:hint="eastAsia" w:ascii="宋体" w:hAnsi="宋体" w:eastAsia="宋体" w:cs="宋体"/>
                <w:color w:val="auto"/>
                <w:kern w:val="2"/>
                <w:sz w:val="21"/>
                <w:szCs w:val="21"/>
                <w:highlight w:val="none"/>
                <w:lang w:val="en-US" w:eastAsia="zh-CN"/>
              </w:rPr>
              <w:t>合计</w:t>
            </w:r>
          </w:p>
        </w:tc>
        <w:tc>
          <w:tcPr>
            <w:tcW w:w="1020" w:type="dxa"/>
            <w:noWrap w:val="0"/>
            <w:vAlign w:val="center"/>
          </w:tcPr>
          <w:p w14:paraId="1F59D0B9">
            <w:pPr>
              <w:keepNext w:val="0"/>
              <w:keepLines w:val="0"/>
              <w:pageBreakBefore w:val="0"/>
              <w:widowControl w:val="0"/>
              <w:tabs>
                <w:tab w:val="left" w:pos="-1440"/>
                <w:tab w:val="left" w:pos="601"/>
              </w:tabs>
              <w:kinsoku/>
              <w:wordWrap/>
              <w:overflowPunct/>
              <w:topLinePunct w:val="0"/>
              <w:autoSpaceDE/>
              <w:autoSpaceDN/>
              <w:bidi w:val="0"/>
              <w:adjustRightInd/>
              <w:snapToGrid/>
              <w:spacing w:line="360" w:lineRule="auto"/>
              <w:jc w:val="center"/>
              <w:textAlignment w:val="auto"/>
              <w:rPr>
                <w:rFonts w:hint="default" w:ascii="宋体" w:hAnsi="宋体" w:eastAsia="宋体" w:cs="宋体"/>
                <w:color w:val="auto"/>
                <w:kern w:val="2"/>
                <w:sz w:val="21"/>
                <w:szCs w:val="21"/>
                <w:highlight w:val="none"/>
                <w:lang w:val="en-US" w:eastAsia="zh-CN"/>
              </w:rPr>
            </w:pPr>
            <w:r>
              <w:rPr>
                <w:rFonts w:hint="eastAsia" w:ascii="宋体" w:hAnsi="宋体" w:eastAsia="宋体" w:cs="宋体"/>
                <w:color w:val="auto"/>
                <w:kern w:val="2"/>
                <w:sz w:val="21"/>
                <w:szCs w:val="21"/>
                <w:highlight w:val="none"/>
                <w:lang w:val="en-US" w:eastAsia="zh-CN"/>
              </w:rPr>
              <w:t>100分</w:t>
            </w:r>
          </w:p>
        </w:tc>
        <w:tc>
          <w:tcPr>
            <w:tcW w:w="2066" w:type="dxa"/>
            <w:tcBorders>
              <w:tl2br w:val="single" w:color="auto" w:sz="4" w:space="0"/>
            </w:tcBorders>
            <w:noWrap w:val="0"/>
            <w:vAlign w:val="center"/>
          </w:tcPr>
          <w:p w14:paraId="6671C9C8">
            <w:pPr>
              <w:keepNext w:val="0"/>
              <w:keepLines w:val="0"/>
              <w:pageBreakBefore w:val="0"/>
              <w:widowControl w:val="0"/>
              <w:tabs>
                <w:tab w:val="left" w:pos="-1440"/>
                <w:tab w:val="left" w:pos="601"/>
              </w:tabs>
              <w:kinsoku/>
              <w:wordWrap/>
              <w:overflowPunct/>
              <w:topLinePunct w:val="0"/>
              <w:autoSpaceDE/>
              <w:autoSpaceDN/>
              <w:bidi w:val="0"/>
              <w:adjustRightInd/>
              <w:snapToGrid/>
              <w:spacing w:line="360" w:lineRule="auto"/>
              <w:jc w:val="center"/>
              <w:textAlignment w:val="auto"/>
              <w:rPr>
                <w:rFonts w:hint="eastAsia" w:ascii="宋体" w:hAnsi="宋体" w:eastAsia="宋体" w:cs="宋体"/>
                <w:color w:val="auto"/>
                <w:kern w:val="2"/>
                <w:sz w:val="21"/>
                <w:szCs w:val="21"/>
                <w:highlight w:val="none"/>
                <w:lang w:eastAsia="zh-CN"/>
              </w:rPr>
            </w:pPr>
          </w:p>
        </w:tc>
        <w:tc>
          <w:tcPr>
            <w:tcW w:w="668" w:type="dxa"/>
            <w:noWrap w:val="0"/>
            <w:vAlign w:val="center"/>
          </w:tcPr>
          <w:p w14:paraId="71AEDB4A">
            <w:pPr>
              <w:keepNext w:val="0"/>
              <w:keepLines w:val="0"/>
              <w:pageBreakBefore w:val="0"/>
              <w:widowControl w:val="0"/>
              <w:tabs>
                <w:tab w:val="left" w:pos="-1440"/>
                <w:tab w:val="left" w:pos="601"/>
              </w:tabs>
              <w:kinsoku/>
              <w:wordWrap/>
              <w:overflowPunct/>
              <w:topLinePunct w:val="0"/>
              <w:autoSpaceDE/>
              <w:autoSpaceDN/>
              <w:bidi w:val="0"/>
              <w:adjustRightInd/>
              <w:snapToGrid/>
              <w:spacing w:line="360" w:lineRule="auto"/>
              <w:textAlignment w:val="auto"/>
              <w:rPr>
                <w:rFonts w:hint="eastAsia" w:ascii="宋体" w:hAnsi="宋体" w:eastAsia="宋体" w:cs="宋体"/>
                <w:color w:val="auto"/>
                <w:kern w:val="2"/>
                <w:sz w:val="21"/>
                <w:szCs w:val="21"/>
                <w:highlight w:val="none"/>
              </w:rPr>
            </w:pPr>
          </w:p>
        </w:tc>
      </w:tr>
    </w:tbl>
    <w:p w14:paraId="2916CAC3">
      <w:pPr>
        <w:keepNext w:val="0"/>
        <w:keepLines w:val="0"/>
        <w:pageBreakBefore w:val="0"/>
        <w:widowControl w:val="0"/>
        <w:kinsoku/>
        <w:wordWrap/>
        <w:overflowPunct/>
        <w:topLinePunct w:val="0"/>
        <w:autoSpaceDE/>
        <w:autoSpaceDN/>
        <w:bidi w:val="0"/>
        <w:adjustRightInd/>
        <w:snapToGrid/>
        <w:spacing w:line="360" w:lineRule="auto"/>
        <w:textAlignment w:val="auto"/>
        <w:rPr>
          <w:rFonts w:hint="eastAsia" w:ascii="宋体" w:hAnsi="宋体" w:eastAsia="宋体" w:cs="宋体"/>
          <w:color w:val="auto"/>
          <w:kern w:val="2"/>
          <w:sz w:val="21"/>
          <w:szCs w:val="21"/>
          <w:highlight w:val="none"/>
          <w:lang w:eastAsia="zh-CN"/>
        </w:rPr>
      </w:pPr>
      <w:r>
        <w:rPr>
          <w:rFonts w:hint="eastAsia" w:ascii="宋体" w:hAnsi="宋体" w:eastAsia="宋体" w:cs="宋体"/>
          <w:b w:val="0"/>
          <w:bCs/>
          <w:color w:val="auto"/>
          <w:kern w:val="2"/>
          <w:sz w:val="21"/>
          <w:szCs w:val="21"/>
          <w:highlight w:val="none"/>
        </w:rPr>
        <w:t>注：以</w:t>
      </w:r>
      <w:r>
        <w:rPr>
          <w:rFonts w:hint="eastAsia" w:ascii="宋体" w:hAnsi="宋体" w:eastAsia="宋体" w:cs="宋体"/>
          <w:color w:val="auto"/>
          <w:kern w:val="2"/>
          <w:sz w:val="21"/>
          <w:szCs w:val="21"/>
          <w:highlight w:val="none"/>
        </w:rPr>
        <w:t>实际检查</w:t>
      </w:r>
      <w:r>
        <w:rPr>
          <w:rFonts w:hint="eastAsia" w:ascii="宋体" w:hAnsi="宋体" w:eastAsia="宋体" w:cs="宋体"/>
          <w:color w:val="auto"/>
          <w:kern w:val="2"/>
          <w:sz w:val="21"/>
          <w:szCs w:val="21"/>
          <w:highlight w:val="none"/>
          <w:lang w:val="en-US" w:eastAsia="zh-CN"/>
        </w:rPr>
        <w:t>情况与临床科室反馈并核实</w:t>
      </w:r>
      <w:r>
        <w:rPr>
          <w:rFonts w:hint="eastAsia" w:ascii="宋体" w:hAnsi="宋体" w:eastAsia="宋体" w:cs="宋体"/>
          <w:color w:val="auto"/>
          <w:kern w:val="2"/>
          <w:sz w:val="21"/>
          <w:szCs w:val="21"/>
          <w:highlight w:val="none"/>
        </w:rPr>
        <w:t>为准，记录好问题的详细情况</w:t>
      </w:r>
      <w:r>
        <w:rPr>
          <w:rFonts w:hint="eastAsia" w:ascii="宋体" w:hAnsi="宋体" w:eastAsia="宋体" w:cs="宋体"/>
          <w:color w:val="auto"/>
          <w:kern w:val="2"/>
          <w:sz w:val="21"/>
          <w:szCs w:val="21"/>
          <w:highlight w:val="none"/>
          <w:lang w:eastAsia="zh-CN"/>
        </w:rPr>
        <w:t>。</w:t>
      </w:r>
    </w:p>
    <w:p w14:paraId="40308A29">
      <w:pPr>
        <w:keepNext w:val="0"/>
        <w:keepLines w:val="0"/>
        <w:pageBreakBefore w:val="0"/>
        <w:widowControl w:val="0"/>
        <w:numPr>
          <w:ilvl w:val="0"/>
          <w:numId w:val="0"/>
        </w:numPr>
        <w:tabs>
          <w:tab w:val="left" w:pos="-1440"/>
          <w:tab w:val="left" w:pos="601"/>
        </w:tabs>
        <w:kinsoku/>
        <w:wordWrap/>
        <w:overflowPunct/>
        <w:topLinePunct w:val="0"/>
        <w:autoSpaceDE/>
        <w:autoSpaceDN/>
        <w:bidi w:val="0"/>
        <w:adjustRightInd/>
        <w:snapToGrid/>
        <w:spacing w:before="25" w:after="25" w:line="360" w:lineRule="auto"/>
        <w:jc w:val="left"/>
        <w:textAlignment w:val="auto"/>
        <w:rPr>
          <w:rFonts w:hint="eastAsia" w:ascii="宋体" w:hAnsi="宋体" w:eastAsia="宋体" w:cs="宋体"/>
          <w:b/>
          <w:bCs/>
          <w:color w:val="auto"/>
          <w:spacing w:val="10"/>
          <w:kern w:val="0"/>
          <w:sz w:val="21"/>
          <w:szCs w:val="21"/>
          <w:highlight w:val="none"/>
          <w:lang w:val="en-US" w:eastAsia="zh-CN" w:bidi="ar-SA"/>
        </w:rPr>
      </w:pPr>
      <w:r>
        <w:rPr>
          <w:rFonts w:hint="eastAsia" w:ascii="宋体" w:hAnsi="宋体" w:eastAsia="宋体" w:cs="宋体"/>
          <w:b/>
          <w:bCs/>
          <w:color w:val="auto"/>
          <w:spacing w:val="10"/>
          <w:kern w:val="0"/>
          <w:sz w:val="21"/>
          <w:szCs w:val="21"/>
          <w:highlight w:val="none"/>
          <w:lang w:val="en-US" w:eastAsia="zh-CN" w:bidi="ar-SA"/>
        </w:rPr>
        <w:t>（</w:t>
      </w:r>
      <w:r>
        <w:rPr>
          <w:rFonts w:hint="eastAsia" w:hAnsi="宋体" w:cs="宋体"/>
          <w:b/>
          <w:bCs/>
          <w:color w:val="auto"/>
          <w:spacing w:val="10"/>
          <w:kern w:val="0"/>
          <w:sz w:val="21"/>
          <w:szCs w:val="21"/>
          <w:highlight w:val="none"/>
          <w:lang w:val="en-US" w:eastAsia="zh-CN" w:bidi="ar-SA"/>
        </w:rPr>
        <w:t>七</w:t>
      </w:r>
      <w:r>
        <w:rPr>
          <w:rFonts w:hint="eastAsia" w:ascii="宋体" w:hAnsi="宋体" w:eastAsia="宋体" w:cs="宋体"/>
          <w:b/>
          <w:bCs/>
          <w:color w:val="auto"/>
          <w:spacing w:val="10"/>
          <w:kern w:val="0"/>
          <w:sz w:val="21"/>
          <w:szCs w:val="21"/>
          <w:highlight w:val="none"/>
          <w:lang w:val="en-US" w:eastAsia="zh-CN" w:bidi="ar-SA"/>
        </w:rPr>
        <w:t>）具体要求：</w:t>
      </w:r>
    </w:p>
    <w:p w14:paraId="41D12826">
      <w:pPr>
        <w:keepNext w:val="0"/>
        <w:keepLines w:val="0"/>
        <w:pageBreakBefore w:val="0"/>
        <w:widowControl w:val="0"/>
        <w:numPr>
          <w:ilvl w:val="0"/>
          <w:numId w:val="0"/>
        </w:numPr>
        <w:tabs>
          <w:tab w:val="left" w:pos="-1440"/>
          <w:tab w:val="left" w:pos="601"/>
        </w:tabs>
        <w:kinsoku/>
        <w:wordWrap/>
        <w:overflowPunct/>
        <w:topLinePunct w:val="0"/>
        <w:autoSpaceDE/>
        <w:autoSpaceDN/>
        <w:bidi w:val="0"/>
        <w:adjustRightInd/>
        <w:snapToGrid/>
        <w:spacing w:before="25" w:after="25" w:line="360" w:lineRule="auto"/>
        <w:ind w:firstLine="460" w:firstLineChars="200"/>
        <w:jc w:val="left"/>
        <w:textAlignment w:val="auto"/>
        <w:rPr>
          <w:rFonts w:hint="eastAsia" w:ascii="宋体" w:hAnsi="宋体" w:eastAsia="宋体" w:cs="宋体"/>
          <w:bCs/>
          <w:color w:val="auto"/>
          <w:spacing w:val="10"/>
          <w:kern w:val="0"/>
          <w:sz w:val="21"/>
          <w:szCs w:val="21"/>
          <w:highlight w:val="none"/>
          <w:lang w:val="en-US" w:eastAsia="zh-CN" w:bidi="ar-SA"/>
        </w:rPr>
      </w:pPr>
      <w:r>
        <w:rPr>
          <w:rFonts w:hint="eastAsia" w:ascii="宋体" w:hAnsi="宋体" w:eastAsia="宋体" w:cs="宋体"/>
          <w:bCs w:val="0"/>
          <w:color w:val="auto"/>
          <w:spacing w:val="10"/>
          <w:kern w:val="0"/>
          <w:sz w:val="21"/>
          <w:szCs w:val="21"/>
          <w:highlight w:val="none"/>
          <w:lang w:val="en-US" w:eastAsia="zh-CN" w:bidi="ar-SA"/>
        </w:rPr>
        <w:t>1.采用绩效考核模式打分法，以</w:t>
      </w:r>
      <w:r>
        <w:rPr>
          <w:rFonts w:hint="eastAsia" w:ascii="宋体" w:hAnsi="宋体" w:eastAsia="宋体" w:cs="宋体"/>
          <w:bCs/>
          <w:color w:val="auto"/>
          <w:spacing w:val="10"/>
          <w:kern w:val="0"/>
          <w:sz w:val="21"/>
          <w:szCs w:val="21"/>
          <w:highlight w:val="none"/>
          <w:lang w:val="en-US" w:eastAsia="zh-CN" w:bidi="ar-SA"/>
        </w:rPr>
        <w:t>《珠海市中西医结合医院器械清洗消毒服务机构季度及年度考核表》为标准。</w:t>
      </w:r>
    </w:p>
    <w:p w14:paraId="46A5E324">
      <w:pPr>
        <w:keepNext w:val="0"/>
        <w:keepLines w:val="0"/>
        <w:pageBreakBefore w:val="0"/>
        <w:widowControl w:val="0"/>
        <w:numPr>
          <w:ilvl w:val="0"/>
          <w:numId w:val="0"/>
        </w:numPr>
        <w:kinsoku/>
        <w:wordWrap/>
        <w:overflowPunct/>
        <w:topLinePunct w:val="0"/>
        <w:autoSpaceDE/>
        <w:autoSpaceDN/>
        <w:bidi w:val="0"/>
        <w:adjustRightInd/>
        <w:snapToGrid/>
        <w:spacing w:line="360" w:lineRule="auto"/>
        <w:ind w:leftChars="0" w:firstLine="420" w:firstLineChars="200"/>
        <w:textAlignment w:val="auto"/>
        <w:rPr>
          <w:rFonts w:hint="eastAsia" w:ascii="宋体" w:hAnsi="宋体" w:eastAsia="宋体" w:cs="宋体"/>
          <w:color w:val="auto"/>
          <w:kern w:val="2"/>
          <w:sz w:val="21"/>
          <w:szCs w:val="21"/>
          <w:highlight w:val="none"/>
        </w:rPr>
      </w:pPr>
      <w:r>
        <w:rPr>
          <w:rFonts w:hint="eastAsia" w:ascii="宋体" w:hAnsi="宋体" w:eastAsia="宋体" w:cs="宋体"/>
          <w:color w:val="auto"/>
          <w:kern w:val="2"/>
          <w:sz w:val="21"/>
          <w:szCs w:val="21"/>
          <w:highlight w:val="none"/>
          <w:lang w:val="en-US" w:eastAsia="zh-CN"/>
        </w:rPr>
        <w:t>2.采购人每季度</w:t>
      </w:r>
      <w:r>
        <w:rPr>
          <w:rFonts w:hint="eastAsia" w:ascii="宋体" w:hAnsi="宋体" w:eastAsia="宋体" w:cs="宋体"/>
          <w:color w:val="auto"/>
          <w:kern w:val="2"/>
          <w:sz w:val="21"/>
          <w:szCs w:val="21"/>
          <w:highlight w:val="none"/>
          <w:lang w:eastAsia="zh-CN"/>
        </w:rPr>
        <w:t>对</w:t>
      </w:r>
      <w:r>
        <w:rPr>
          <w:rFonts w:hint="eastAsia" w:ascii="宋体" w:hAnsi="宋体" w:eastAsia="宋体" w:cs="宋体"/>
          <w:color w:val="auto"/>
          <w:kern w:val="2"/>
          <w:sz w:val="21"/>
          <w:szCs w:val="21"/>
          <w:highlight w:val="none"/>
          <w:lang w:val="en-US" w:eastAsia="zh-CN"/>
        </w:rPr>
        <w:t>中标人</w:t>
      </w:r>
      <w:r>
        <w:rPr>
          <w:rFonts w:hint="eastAsia" w:ascii="宋体" w:hAnsi="宋体" w:eastAsia="宋体" w:cs="宋体"/>
          <w:color w:val="auto"/>
          <w:kern w:val="2"/>
          <w:sz w:val="21"/>
          <w:szCs w:val="21"/>
          <w:highlight w:val="none"/>
          <w:lang w:eastAsia="zh-CN"/>
        </w:rPr>
        <w:t>进行服务</w:t>
      </w:r>
      <w:r>
        <w:rPr>
          <w:rFonts w:hint="eastAsia" w:ascii="宋体" w:hAnsi="宋体" w:eastAsia="宋体" w:cs="宋体"/>
          <w:color w:val="auto"/>
          <w:kern w:val="2"/>
          <w:sz w:val="21"/>
          <w:szCs w:val="21"/>
          <w:highlight w:val="none"/>
          <w:lang w:val="en-US" w:eastAsia="zh-CN"/>
        </w:rPr>
        <w:t>质量考核1次</w:t>
      </w:r>
      <w:r>
        <w:rPr>
          <w:rFonts w:hint="eastAsia" w:ascii="宋体" w:hAnsi="宋体" w:eastAsia="宋体" w:cs="宋体"/>
          <w:color w:val="auto"/>
          <w:kern w:val="2"/>
          <w:sz w:val="21"/>
          <w:szCs w:val="21"/>
          <w:highlight w:val="none"/>
          <w:lang w:eastAsia="zh-CN"/>
        </w:rPr>
        <w:t>，</w:t>
      </w:r>
      <w:r>
        <w:rPr>
          <w:rFonts w:hint="eastAsia" w:ascii="宋体" w:hAnsi="宋体" w:eastAsia="宋体" w:cs="宋体"/>
          <w:color w:val="auto"/>
          <w:kern w:val="2"/>
          <w:sz w:val="21"/>
          <w:szCs w:val="21"/>
          <w:highlight w:val="none"/>
          <w:lang w:val="en-US" w:eastAsia="zh-CN"/>
        </w:rPr>
        <w:t>总分满分为100分，90分及以上为合格。季度质量考核</w:t>
      </w:r>
      <w:r>
        <w:rPr>
          <w:rFonts w:hint="eastAsia" w:ascii="宋体" w:hAnsi="宋体" w:eastAsia="宋体" w:cs="宋体"/>
          <w:color w:val="auto"/>
          <w:kern w:val="2"/>
          <w:sz w:val="21"/>
          <w:szCs w:val="21"/>
          <w:highlight w:val="none"/>
          <w:lang w:eastAsia="zh-CN"/>
        </w:rPr>
        <w:t>总分</w:t>
      </w:r>
      <w:r>
        <w:rPr>
          <w:rFonts w:hint="eastAsia" w:ascii="宋体" w:hAnsi="宋体" w:eastAsia="宋体" w:cs="宋体"/>
          <w:bCs w:val="0"/>
          <w:color w:val="auto"/>
          <w:kern w:val="2"/>
          <w:sz w:val="21"/>
          <w:szCs w:val="21"/>
          <w:highlight w:val="none"/>
          <w:lang w:val="en-US" w:eastAsia="zh-CN"/>
        </w:rPr>
        <w:t>低于90分，</w:t>
      </w:r>
      <w:r>
        <w:rPr>
          <w:rFonts w:hint="eastAsia" w:ascii="宋体" w:hAnsi="宋体" w:eastAsia="宋体" w:cs="宋体"/>
          <w:color w:val="auto"/>
          <w:kern w:val="2"/>
          <w:sz w:val="21"/>
          <w:szCs w:val="21"/>
          <w:highlight w:val="none"/>
        </w:rPr>
        <w:t>采购人有权</w:t>
      </w:r>
      <w:r>
        <w:rPr>
          <w:rFonts w:hint="eastAsia" w:ascii="宋体" w:hAnsi="宋体" w:eastAsia="宋体" w:cs="宋体"/>
          <w:color w:val="auto"/>
          <w:kern w:val="2"/>
          <w:sz w:val="21"/>
          <w:szCs w:val="21"/>
          <w:highlight w:val="none"/>
          <w:lang w:val="en-US" w:eastAsia="zh-CN"/>
        </w:rPr>
        <w:t>责</w:t>
      </w:r>
      <w:r>
        <w:rPr>
          <w:rFonts w:hint="eastAsia" w:ascii="宋体" w:hAnsi="宋体" w:eastAsia="宋体" w:cs="宋体"/>
          <w:color w:val="auto"/>
          <w:kern w:val="2"/>
          <w:sz w:val="21"/>
          <w:szCs w:val="21"/>
          <w:highlight w:val="none"/>
        </w:rPr>
        <w:t>令中标人限期整改，整改时限为十个日历日；若中标人整改后</w:t>
      </w:r>
      <w:r>
        <w:rPr>
          <w:rFonts w:hint="eastAsia" w:ascii="宋体" w:hAnsi="宋体" w:eastAsia="宋体" w:cs="宋体"/>
          <w:color w:val="auto"/>
          <w:kern w:val="2"/>
          <w:sz w:val="21"/>
          <w:szCs w:val="21"/>
          <w:highlight w:val="none"/>
          <w:lang w:val="en-US" w:eastAsia="zh-CN"/>
        </w:rPr>
        <w:t>再次</w:t>
      </w:r>
      <w:r>
        <w:rPr>
          <w:rFonts w:hint="eastAsia" w:ascii="宋体" w:hAnsi="宋体" w:eastAsia="宋体" w:cs="宋体"/>
          <w:color w:val="auto"/>
          <w:kern w:val="2"/>
          <w:sz w:val="21"/>
          <w:szCs w:val="21"/>
          <w:highlight w:val="none"/>
        </w:rPr>
        <w:t>考核</w:t>
      </w:r>
      <w:r>
        <w:rPr>
          <w:rFonts w:hint="eastAsia" w:ascii="宋体" w:hAnsi="宋体" w:eastAsia="宋体" w:cs="宋体"/>
          <w:color w:val="auto"/>
          <w:kern w:val="2"/>
          <w:sz w:val="21"/>
          <w:szCs w:val="21"/>
          <w:highlight w:val="none"/>
          <w:lang w:val="en-US" w:eastAsia="zh-CN"/>
        </w:rPr>
        <w:t>得分仍</w:t>
      </w:r>
      <w:r>
        <w:rPr>
          <w:rFonts w:hint="eastAsia" w:ascii="宋体" w:hAnsi="宋体" w:eastAsia="宋体" w:cs="宋体"/>
          <w:color w:val="auto"/>
          <w:kern w:val="2"/>
          <w:sz w:val="21"/>
          <w:szCs w:val="21"/>
          <w:highlight w:val="none"/>
        </w:rPr>
        <w:t>低于90分</w:t>
      </w:r>
      <w:r>
        <w:rPr>
          <w:rFonts w:hint="eastAsia" w:ascii="宋体" w:hAnsi="宋体" w:eastAsia="宋体" w:cs="宋体"/>
          <w:color w:val="auto"/>
          <w:kern w:val="2"/>
          <w:sz w:val="21"/>
          <w:szCs w:val="21"/>
          <w:highlight w:val="none"/>
          <w:lang w:val="en-US" w:eastAsia="zh-CN"/>
        </w:rPr>
        <w:t>的</w:t>
      </w:r>
      <w:r>
        <w:rPr>
          <w:rFonts w:hint="eastAsia" w:ascii="宋体" w:hAnsi="宋体" w:eastAsia="宋体" w:cs="宋体"/>
          <w:color w:val="auto"/>
          <w:kern w:val="2"/>
          <w:sz w:val="21"/>
          <w:szCs w:val="21"/>
          <w:highlight w:val="none"/>
        </w:rPr>
        <w:t>，采购人有权终止合同</w:t>
      </w:r>
      <w:r>
        <w:rPr>
          <w:rFonts w:hint="eastAsia" w:ascii="宋体" w:hAnsi="宋体" w:eastAsia="宋体" w:cs="宋体"/>
          <w:bCs w:val="0"/>
          <w:color w:val="auto"/>
          <w:kern w:val="2"/>
          <w:sz w:val="21"/>
          <w:szCs w:val="21"/>
          <w:highlight w:val="none"/>
          <w:lang w:val="en-US" w:eastAsia="zh-CN"/>
        </w:rPr>
        <w:t>且不承担违约责任。</w:t>
      </w:r>
      <w:r>
        <w:rPr>
          <w:rFonts w:hint="eastAsia" w:ascii="宋体" w:hAnsi="宋体" w:eastAsia="宋体" w:cs="宋体"/>
          <w:color w:val="auto"/>
          <w:kern w:val="2"/>
          <w:sz w:val="21"/>
          <w:szCs w:val="21"/>
          <w:highlight w:val="none"/>
        </w:rPr>
        <w:t>（服务满意调查对象包含</w:t>
      </w:r>
      <w:r>
        <w:rPr>
          <w:rFonts w:hint="eastAsia" w:ascii="宋体" w:hAnsi="宋体" w:eastAsia="宋体" w:cs="宋体"/>
          <w:bCs/>
          <w:color w:val="auto"/>
          <w:kern w:val="2"/>
          <w:sz w:val="21"/>
          <w:szCs w:val="21"/>
          <w:highlight w:val="none"/>
        </w:rPr>
        <w:t>使用科室、</w:t>
      </w:r>
      <w:r>
        <w:rPr>
          <w:rFonts w:hint="eastAsia" w:ascii="宋体" w:hAnsi="宋体" w:eastAsia="宋体" w:cs="宋体"/>
          <w:color w:val="auto"/>
          <w:kern w:val="2"/>
          <w:sz w:val="21"/>
          <w:szCs w:val="21"/>
          <w:highlight w:val="none"/>
        </w:rPr>
        <w:t>医院职工等）</w:t>
      </w:r>
    </w:p>
    <w:p w14:paraId="7C2B6716">
      <w:pPr>
        <w:keepNext w:val="0"/>
        <w:keepLines w:val="0"/>
        <w:pageBreakBefore w:val="0"/>
        <w:widowControl w:val="0"/>
        <w:numPr>
          <w:ilvl w:val="0"/>
          <w:numId w:val="0"/>
        </w:numPr>
        <w:tabs>
          <w:tab w:val="left" w:pos="-1440"/>
          <w:tab w:val="left" w:pos="601"/>
        </w:tabs>
        <w:kinsoku/>
        <w:wordWrap/>
        <w:overflowPunct/>
        <w:topLinePunct w:val="0"/>
        <w:autoSpaceDE/>
        <w:autoSpaceDN/>
        <w:bidi w:val="0"/>
        <w:adjustRightInd/>
        <w:snapToGrid/>
        <w:spacing w:before="25" w:after="25" w:line="360" w:lineRule="auto"/>
        <w:ind w:firstLine="460" w:firstLineChars="200"/>
        <w:jc w:val="left"/>
        <w:textAlignment w:val="auto"/>
        <w:rPr>
          <w:rFonts w:hint="eastAsia" w:ascii="宋体" w:hAnsi="宋体" w:eastAsia="宋体" w:cs="宋体"/>
          <w:b/>
          <w:bCs w:val="0"/>
          <w:color w:val="auto"/>
          <w:spacing w:val="10"/>
          <w:kern w:val="0"/>
          <w:sz w:val="21"/>
          <w:szCs w:val="21"/>
          <w:highlight w:val="none"/>
          <w:lang w:val="en-US" w:eastAsia="zh-CN" w:bidi="ar-SA"/>
        </w:rPr>
      </w:pPr>
      <w:r>
        <w:rPr>
          <w:rFonts w:hint="eastAsia" w:ascii="宋体" w:hAnsi="宋体" w:eastAsia="宋体" w:cs="宋体"/>
          <w:bCs w:val="0"/>
          <w:color w:val="auto"/>
          <w:spacing w:val="10"/>
          <w:kern w:val="0"/>
          <w:sz w:val="21"/>
          <w:szCs w:val="21"/>
          <w:highlight w:val="none"/>
          <w:lang w:val="en-US" w:eastAsia="zh-CN" w:bidi="ar-SA"/>
        </w:rPr>
        <w:t>3.如出现服务质量问题，明确责任后，按以下细则进行处理。</w:t>
      </w:r>
    </w:p>
    <w:p w14:paraId="252A8C33">
      <w:pPr>
        <w:keepNext w:val="0"/>
        <w:keepLines w:val="0"/>
        <w:pageBreakBefore w:val="0"/>
        <w:widowControl w:val="0"/>
        <w:tabs>
          <w:tab w:val="left" w:pos="-1440"/>
          <w:tab w:val="left" w:pos="601"/>
        </w:tabs>
        <w:kinsoku/>
        <w:wordWrap/>
        <w:overflowPunct/>
        <w:topLinePunct w:val="0"/>
        <w:autoSpaceDE/>
        <w:autoSpaceDN/>
        <w:bidi w:val="0"/>
        <w:adjustRightInd/>
        <w:snapToGrid/>
        <w:spacing w:before="25" w:after="25" w:line="360" w:lineRule="auto"/>
        <w:ind w:firstLine="460" w:firstLineChars="200"/>
        <w:jc w:val="left"/>
        <w:textAlignment w:val="auto"/>
        <w:rPr>
          <w:rFonts w:hint="eastAsia" w:ascii="宋体" w:hAnsi="宋体" w:eastAsia="宋体" w:cs="宋体"/>
          <w:bCs/>
          <w:color w:val="auto"/>
          <w:spacing w:val="10"/>
          <w:kern w:val="0"/>
          <w:sz w:val="21"/>
          <w:szCs w:val="21"/>
          <w:highlight w:val="none"/>
          <w:lang w:val="en-US" w:eastAsia="zh-CN" w:bidi="ar-SA"/>
        </w:rPr>
      </w:pPr>
      <w:r>
        <w:rPr>
          <w:rFonts w:hint="eastAsia" w:ascii="宋体" w:hAnsi="宋体" w:eastAsia="宋体" w:cs="宋体"/>
          <w:bCs/>
          <w:color w:val="auto"/>
          <w:spacing w:val="10"/>
          <w:kern w:val="0"/>
          <w:sz w:val="21"/>
          <w:szCs w:val="21"/>
          <w:highlight w:val="none"/>
          <w:lang w:val="en-US" w:eastAsia="zh-CN" w:bidi="ar-SA"/>
        </w:rPr>
        <w:t>（1）季度质量考核得分</w:t>
      </w:r>
      <w:r>
        <w:rPr>
          <w:rFonts w:hint="eastAsia" w:ascii="宋体" w:hAnsi="宋体" w:eastAsia="宋体" w:cs="宋体"/>
          <w:bCs w:val="0"/>
          <w:color w:val="auto"/>
          <w:spacing w:val="10"/>
          <w:kern w:val="0"/>
          <w:sz w:val="21"/>
          <w:szCs w:val="21"/>
          <w:highlight w:val="none"/>
          <w:lang w:val="en-US" w:eastAsia="zh-CN" w:bidi="ar-SA"/>
        </w:rPr>
        <w:t>低于90分，每下降1分扣减2000元。</w:t>
      </w:r>
    </w:p>
    <w:p w14:paraId="74D283A4">
      <w:pPr>
        <w:keepNext w:val="0"/>
        <w:keepLines w:val="0"/>
        <w:pageBreakBefore w:val="0"/>
        <w:widowControl w:val="0"/>
        <w:tabs>
          <w:tab w:val="left" w:pos="-1440"/>
          <w:tab w:val="left" w:pos="601"/>
        </w:tabs>
        <w:kinsoku/>
        <w:wordWrap/>
        <w:overflowPunct/>
        <w:topLinePunct w:val="0"/>
        <w:autoSpaceDE/>
        <w:autoSpaceDN/>
        <w:bidi w:val="0"/>
        <w:adjustRightInd/>
        <w:snapToGrid/>
        <w:spacing w:before="25" w:after="25" w:line="360" w:lineRule="auto"/>
        <w:ind w:firstLine="460" w:firstLineChars="200"/>
        <w:jc w:val="left"/>
        <w:textAlignment w:val="auto"/>
        <w:rPr>
          <w:rFonts w:hint="eastAsia" w:ascii="宋体" w:hAnsi="宋体" w:eastAsia="宋体" w:cs="宋体"/>
          <w:bCs/>
          <w:color w:val="auto"/>
          <w:spacing w:val="10"/>
          <w:kern w:val="0"/>
          <w:sz w:val="21"/>
          <w:szCs w:val="21"/>
          <w:highlight w:val="none"/>
          <w:lang w:val="en-US" w:eastAsia="zh-CN" w:bidi="ar-SA"/>
        </w:rPr>
      </w:pPr>
      <w:r>
        <w:rPr>
          <w:rFonts w:hint="eastAsia" w:ascii="宋体" w:hAnsi="宋体" w:eastAsia="宋体" w:cs="宋体"/>
          <w:bCs/>
          <w:color w:val="auto"/>
          <w:spacing w:val="10"/>
          <w:kern w:val="0"/>
          <w:sz w:val="21"/>
          <w:szCs w:val="21"/>
          <w:highlight w:val="none"/>
          <w:lang w:val="en-US" w:eastAsia="zh-CN" w:bidi="ar-SA"/>
        </w:rPr>
        <w:t>（2）因中标人操作不当导致器械损坏或者功能异常，按折旧价赔偿或者15个日历日内完成维修顺利使用，器械的正常损耗除外。</w:t>
      </w:r>
    </w:p>
    <w:p w14:paraId="11E20CED">
      <w:pPr>
        <w:keepNext w:val="0"/>
        <w:keepLines w:val="0"/>
        <w:pageBreakBefore w:val="0"/>
        <w:widowControl w:val="0"/>
        <w:tabs>
          <w:tab w:val="left" w:pos="-1440"/>
          <w:tab w:val="left" w:pos="601"/>
        </w:tabs>
        <w:kinsoku/>
        <w:wordWrap/>
        <w:overflowPunct/>
        <w:topLinePunct w:val="0"/>
        <w:autoSpaceDE/>
        <w:autoSpaceDN/>
        <w:bidi w:val="0"/>
        <w:adjustRightInd/>
        <w:snapToGrid/>
        <w:spacing w:before="25" w:after="25" w:line="360" w:lineRule="auto"/>
        <w:ind w:firstLine="460" w:firstLineChars="200"/>
        <w:jc w:val="left"/>
        <w:textAlignment w:val="auto"/>
        <w:rPr>
          <w:rFonts w:hint="eastAsia" w:ascii="宋体" w:hAnsi="宋体" w:eastAsia="宋体" w:cs="宋体"/>
          <w:bCs/>
          <w:color w:val="auto"/>
          <w:spacing w:val="10"/>
          <w:kern w:val="0"/>
          <w:sz w:val="21"/>
          <w:szCs w:val="21"/>
          <w:highlight w:val="none"/>
          <w:lang w:val="en-US" w:eastAsia="zh-CN" w:bidi="ar-SA"/>
        </w:rPr>
      </w:pPr>
      <w:r>
        <w:rPr>
          <w:rFonts w:hint="eastAsia" w:ascii="宋体" w:hAnsi="宋体" w:eastAsia="宋体" w:cs="宋体"/>
          <w:bCs/>
          <w:color w:val="auto"/>
          <w:spacing w:val="10"/>
          <w:kern w:val="0"/>
          <w:sz w:val="21"/>
          <w:szCs w:val="21"/>
          <w:highlight w:val="none"/>
          <w:lang w:val="en-US" w:eastAsia="zh-CN" w:bidi="ar-SA"/>
        </w:rPr>
        <w:t>（3）因中标人原因发生的院感事件，中标人负全责，并承担全部的经济损失赔偿。</w:t>
      </w:r>
    </w:p>
    <w:p w14:paraId="649961FC">
      <w:pPr>
        <w:keepNext w:val="0"/>
        <w:keepLines w:val="0"/>
        <w:pageBreakBefore w:val="0"/>
        <w:widowControl w:val="0"/>
        <w:tabs>
          <w:tab w:val="left" w:pos="-1440"/>
          <w:tab w:val="left" w:pos="601"/>
        </w:tabs>
        <w:kinsoku/>
        <w:wordWrap/>
        <w:overflowPunct/>
        <w:topLinePunct w:val="0"/>
        <w:autoSpaceDE/>
        <w:autoSpaceDN/>
        <w:bidi w:val="0"/>
        <w:adjustRightInd/>
        <w:snapToGrid/>
        <w:spacing w:before="25" w:after="25" w:line="360" w:lineRule="auto"/>
        <w:ind w:firstLine="460" w:firstLineChars="200"/>
        <w:jc w:val="left"/>
        <w:textAlignment w:val="auto"/>
        <w:rPr>
          <w:rFonts w:hint="eastAsia" w:ascii="宋体" w:hAnsi="宋体" w:eastAsia="宋体" w:cs="宋体"/>
          <w:bCs/>
          <w:color w:val="auto"/>
          <w:spacing w:val="10"/>
          <w:kern w:val="0"/>
          <w:sz w:val="21"/>
          <w:szCs w:val="21"/>
          <w:highlight w:val="none"/>
          <w:lang w:val="en-US" w:eastAsia="zh-CN" w:bidi="ar-SA"/>
        </w:rPr>
      </w:pPr>
      <w:r>
        <w:rPr>
          <w:rFonts w:hint="eastAsia" w:ascii="宋体" w:hAnsi="宋体" w:eastAsia="宋体" w:cs="宋体"/>
          <w:bCs/>
          <w:color w:val="auto"/>
          <w:spacing w:val="10"/>
          <w:kern w:val="0"/>
          <w:sz w:val="21"/>
          <w:szCs w:val="21"/>
          <w:highlight w:val="none"/>
          <w:lang w:val="en-US" w:eastAsia="zh-CN" w:bidi="ar-SA"/>
        </w:rPr>
        <w:t>（4）因中标人原因导致器械灭菌整炉失败，影响采购人器械包使用时，中标人负全责，并承担全部的经济损失赔偿。（不可抗力因素除外）</w:t>
      </w:r>
    </w:p>
    <w:p w14:paraId="7F3434B7">
      <w:pPr>
        <w:keepNext w:val="0"/>
        <w:keepLines w:val="0"/>
        <w:pageBreakBefore w:val="0"/>
        <w:widowControl w:val="0"/>
        <w:tabs>
          <w:tab w:val="left" w:pos="-1440"/>
          <w:tab w:val="left" w:pos="601"/>
        </w:tabs>
        <w:kinsoku/>
        <w:wordWrap/>
        <w:overflowPunct/>
        <w:topLinePunct w:val="0"/>
        <w:autoSpaceDE/>
        <w:autoSpaceDN/>
        <w:bidi w:val="0"/>
        <w:adjustRightInd/>
        <w:snapToGrid/>
        <w:spacing w:before="25" w:after="25" w:line="360" w:lineRule="auto"/>
        <w:ind w:firstLine="460" w:firstLineChars="200"/>
        <w:jc w:val="both"/>
        <w:textAlignment w:val="auto"/>
        <w:rPr>
          <w:rFonts w:hint="eastAsia" w:ascii="宋体" w:hAnsi="宋体" w:eastAsia="宋体" w:cs="宋体"/>
          <w:bCs/>
          <w:color w:val="auto"/>
          <w:spacing w:val="10"/>
          <w:kern w:val="0"/>
          <w:sz w:val="21"/>
          <w:szCs w:val="21"/>
          <w:highlight w:val="none"/>
          <w:lang w:val="en-US" w:eastAsia="zh-CN" w:bidi="ar-SA"/>
        </w:rPr>
      </w:pPr>
      <w:r>
        <w:rPr>
          <w:rFonts w:hint="eastAsia" w:ascii="宋体" w:hAnsi="宋体" w:eastAsia="宋体" w:cs="宋体"/>
          <w:bCs/>
          <w:color w:val="auto"/>
          <w:spacing w:val="10"/>
          <w:kern w:val="0"/>
          <w:sz w:val="21"/>
          <w:szCs w:val="21"/>
          <w:highlight w:val="none"/>
          <w:lang w:val="en-US" w:eastAsia="zh-CN" w:bidi="ar-SA"/>
        </w:rPr>
        <w:t>（5）双方在灭菌器械包交接时做好当面检查，如出现外湿包、破包应予以指出，并进行双方确认，即刻回收，由中标人重新灭菌后发放；开包后发现的内湿包及脏包，由中标人负责，以上均扣减100元/包。</w:t>
      </w:r>
    </w:p>
    <w:p w14:paraId="74A40E1D">
      <w:pPr>
        <w:keepNext w:val="0"/>
        <w:keepLines w:val="0"/>
        <w:pageBreakBefore w:val="0"/>
        <w:widowControl w:val="0"/>
        <w:tabs>
          <w:tab w:val="left" w:pos="-1440"/>
          <w:tab w:val="left" w:pos="601"/>
        </w:tabs>
        <w:kinsoku/>
        <w:wordWrap/>
        <w:overflowPunct/>
        <w:topLinePunct w:val="0"/>
        <w:autoSpaceDE/>
        <w:autoSpaceDN/>
        <w:bidi w:val="0"/>
        <w:adjustRightInd/>
        <w:snapToGrid/>
        <w:spacing w:before="25" w:after="25" w:line="360" w:lineRule="auto"/>
        <w:ind w:firstLine="460" w:firstLineChars="200"/>
        <w:jc w:val="left"/>
        <w:textAlignment w:val="auto"/>
        <w:rPr>
          <w:rFonts w:hint="eastAsia" w:ascii="宋体" w:hAnsi="宋体" w:eastAsia="宋体" w:cs="宋体"/>
          <w:bCs/>
          <w:color w:val="auto"/>
          <w:spacing w:val="10"/>
          <w:kern w:val="0"/>
          <w:sz w:val="21"/>
          <w:szCs w:val="21"/>
          <w:highlight w:val="none"/>
          <w:lang w:val="en-US" w:eastAsia="zh-CN" w:bidi="ar-SA"/>
        </w:rPr>
      </w:pPr>
      <w:r>
        <w:rPr>
          <w:rFonts w:hint="eastAsia" w:ascii="宋体" w:hAnsi="宋体" w:eastAsia="宋体" w:cs="宋体"/>
          <w:bCs/>
          <w:color w:val="auto"/>
          <w:spacing w:val="10"/>
          <w:kern w:val="0"/>
          <w:sz w:val="21"/>
          <w:szCs w:val="21"/>
          <w:highlight w:val="none"/>
          <w:lang w:val="en-US" w:eastAsia="zh-CN" w:bidi="ar-SA"/>
        </w:rPr>
        <w:t>（6）因中标人原因导致器械漏发、标签错误、灭菌监测数据错误等情况，扣减100元/包，并即刻整改。</w:t>
      </w:r>
    </w:p>
    <w:p w14:paraId="2E8BA091">
      <w:pPr>
        <w:keepNext w:val="0"/>
        <w:keepLines w:val="0"/>
        <w:pageBreakBefore w:val="0"/>
        <w:widowControl w:val="0"/>
        <w:tabs>
          <w:tab w:val="left" w:pos="-1440"/>
          <w:tab w:val="left" w:pos="601"/>
        </w:tabs>
        <w:kinsoku/>
        <w:wordWrap/>
        <w:overflowPunct/>
        <w:topLinePunct w:val="0"/>
        <w:autoSpaceDE/>
        <w:autoSpaceDN/>
        <w:bidi w:val="0"/>
        <w:adjustRightInd/>
        <w:snapToGrid/>
        <w:spacing w:before="25" w:after="25" w:line="360" w:lineRule="auto"/>
        <w:ind w:firstLine="460" w:firstLineChars="200"/>
        <w:jc w:val="both"/>
        <w:textAlignment w:val="auto"/>
        <w:rPr>
          <w:rFonts w:hint="eastAsia" w:ascii="宋体" w:hAnsi="宋体" w:eastAsia="宋体" w:cs="宋体"/>
          <w:bCs/>
          <w:color w:val="auto"/>
          <w:spacing w:val="10"/>
          <w:kern w:val="0"/>
          <w:sz w:val="21"/>
          <w:szCs w:val="21"/>
          <w:highlight w:val="none"/>
          <w:lang w:val="en-US" w:eastAsia="zh-CN" w:bidi="ar-SA"/>
        </w:rPr>
      </w:pPr>
      <w:r>
        <w:rPr>
          <w:rFonts w:hint="eastAsia" w:ascii="宋体" w:hAnsi="宋体" w:eastAsia="宋体" w:cs="宋体"/>
          <w:bCs/>
          <w:color w:val="auto"/>
          <w:spacing w:val="10"/>
          <w:kern w:val="0"/>
          <w:sz w:val="21"/>
          <w:szCs w:val="21"/>
          <w:highlight w:val="none"/>
          <w:lang w:val="en-US" w:eastAsia="zh-CN" w:bidi="ar-SA"/>
        </w:rPr>
        <w:t>（7）因中标人发放的灭菌器械包质量问题（湿包、破包、脏包等不合格情况），</w:t>
      </w:r>
      <w:r>
        <w:rPr>
          <w:rFonts w:hint="eastAsia"/>
          <w:color w:val="auto"/>
          <w:highlight w:val="none"/>
          <w:lang w:val="en-US" w:eastAsia="zh-CN"/>
        </w:rPr>
        <w:t>每引起患者手术延误1小时的，则扣减</w:t>
      </w:r>
      <w:r>
        <w:rPr>
          <w:rFonts w:hint="eastAsia" w:ascii="宋体" w:hAnsi="宋体" w:eastAsia="宋体" w:cs="宋体"/>
          <w:bCs/>
          <w:color w:val="auto"/>
          <w:spacing w:val="10"/>
          <w:kern w:val="0"/>
          <w:sz w:val="21"/>
          <w:szCs w:val="21"/>
          <w:highlight w:val="none"/>
          <w:lang w:val="en-US" w:eastAsia="zh-CN" w:bidi="ar-SA"/>
        </w:rPr>
        <w:t>1000元/台，不足1小时的则按1小时计算，以此类推；若患者手术麻醉后才发现的，由中标人原因导致的手术延误则在以上基础上双倍扣减；如因手术延误造成医疗纠纷的，采购人启动紧急灭菌的费用，由中标人承担。（</w:t>
      </w:r>
      <w:r>
        <w:rPr>
          <w:rFonts w:hint="eastAsia" w:ascii="宋体" w:hAnsi="宋体" w:eastAsia="宋体" w:cs="宋体"/>
          <w:b/>
          <w:bCs w:val="0"/>
          <w:color w:val="auto"/>
          <w:spacing w:val="10"/>
          <w:kern w:val="0"/>
          <w:sz w:val="21"/>
          <w:szCs w:val="21"/>
          <w:highlight w:val="none"/>
          <w:lang w:val="en-US" w:eastAsia="zh-CN" w:bidi="ar-SA"/>
        </w:rPr>
        <w:t>备注：以上经济赔偿均从次月支付款项内直接扣减。</w:t>
      </w:r>
      <w:r>
        <w:rPr>
          <w:rFonts w:hint="eastAsia" w:ascii="宋体" w:hAnsi="宋体" w:eastAsia="宋体" w:cs="宋体"/>
          <w:bCs/>
          <w:color w:val="auto"/>
          <w:spacing w:val="10"/>
          <w:kern w:val="0"/>
          <w:sz w:val="21"/>
          <w:szCs w:val="21"/>
          <w:highlight w:val="none"/>
          <w:lang w:val="en-US" w:eastAsia="zh-CN" w:bidi="ar-SA"/>
        </w:rPr>
        <w:t>）</w:t>
      </w:r>
    </w:p>
    <w:p w14:paraId="621A476D">
      <w:pPr>
        <w:rPr>
          <w:color w:val="auto"/>
          <w:highlight w:val="none"/>
        </w:rPr>
      </w:pPr>
    </w:p>
    <w:sectPr>
      <w:pgSz w:w="11906" w:h="16838"/>
      <w:pgMar w:top="1440" w:right="1800" w:bottom="1440" w:left="1800" w:header="851" w:footer="992" w:gutter="0"/>
      <w:cols w:space="720"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52"/>
    <w:family w:val="auto"/>
    <w:pitch w:val="default"/>
    <w:sig w:usb0="E0002EFF" w:usb1="C000785B" w:usb2="00000009" w:usb3="00000000" w:csb0="400001FF" w:csb1="FFFF0000"/>
  </w:font>
  <w:font w:name="宋体">
    <w:panose1 w:val="02010600030101010101"/>
    <w:charset w:val="7A"/>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altName w:val="Segoe UI"/>
    <w:panose1 w:val="020F0502020204030204"/>
    <w:charset w:val="00"/>
    <w:family w:val="swiss"/>
    <w:pitch w:val="default"/>
    <w:sig w:usb0="00000000" w:usb1="00000000" w:usb2="00000001" w:usb3="00000000" w:csb0="0000019F" w:csb1="00000000"/>
  </w:font>
  <w:font w:name="Segoe UI">
    <w:panose1 w:val="020B0502040204020203"/>
    <w:charset w:val="00"/>
    <w:family w:val="auto"/>
    <w:pitch w:val="default"/>
    <w:sig w:usb0="E4002EFF" w:usb1="C000E47F" w:usb2="00000009" w:usb3="00000000" w:csb0="200001F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0D51043D"/>
    <w:multiLevelType w:val="multilevel"/>
    <w:tmpl w:val="0D51043D"/>
    <w:lvl w:ilvl="0" w:tentative="0">
      <w:start w:val="1"/>
      <w:numFmt w:val="chineseCountingThousand"/>
      <w:suff w:val="space"/>
      <w:lvlText w:val="%1、"/>
      <w:lvlJc w:val="left"/>
      <w:pPr>
        <w:ind w:left="420" w:hanging="420"/>
      </w:pPr>
      <w:rPr>
        <w:rFonts w:hint="eastAsia"/>
      </w:r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abstractNum w:abstractNumId="1">
    <w:nsid w:val="1D1B5A48"/>
    <w:multiLevelType w:val="multilevel"/>
    <w:tmpl w:val="1D1B5A48"/>
    <w:lvl w:ilvl="0" w:tentative="0">
      <w:start w:val="1"/>
      <w:numFmt w:val="decimal"/>
      <w:suff w:val="space"/>
      <w:lvlText w:val="%1."/>
      <w:lvlJc w:val="left"/>
      <w:pPr>
        <w:ind w:left="420" w:hanging="420"/>
      </w:pPr>
      <w:rPr>
        <w:rFonts w:hint="eastAsia"/>
      </w:r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abstractNum w:abstractNumId="2">
    <w:nsid w:val="581268A9"/>
    <w:multiLevelType w:val="multilevel"/>
    <w:tmpl w:val="581268A9"/>
    <w:lvl w:ilvl="0" w:tentative="0">
      <w:start w:val="1"/>
      <w:numFmt w:val="decimal"/>
      <w:suff w:val="space"/>
      <w:lvlText w:val="%1."/>
      <w:lvlJc w:val="left"/>
      <w:pPr>
        <w:ind w:left="420" w:hanging="420"/>
      </w:pPr>
      <w:rPr>
        <w:rFonts w:hint="default"/>
        <w:color w:val="auto"/>
      </w:r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abstractNum w:abstractNumId="3">
    <w:nsid w:val="5AD9094C"/>
    <w:multiLevelType w:val="multilevel"/>
    <w:tmpl w:val="5AD9094C"/>
    <w:lvl w:ilvl="0" w:tentative="0">
      <w:start w:val="1"/>
      <w:numFmt w:val="decimal"/>
      <w:suff w:val="space"/>
      <w:lvlText w:val="%1."/>
      <w:lvlJc w:val="left"/>
      <w:pPr>
        <w:ind w:left="420" w:hanging="420"/>
      </w:pPr>
      <w:rPr>
        <w:rFonts w:hint="eastAsia"/>
      </w:r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num w:numId="1">
    <w:abstractNumId w:val="0"/>
  </w:num>
  <w:num w:numId="2">
    <w:abstractNumId w:val="1"/>
  </w:num>
  <w:num w:numId="3">
    <w:abstractNumId w:val="3"/>
  </w:num>
  <w:num w:numId="4">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30"/>
  <w:bordersDoNotSurroundHeader w:val="1"/>
  <w:bordersDoNotSurroundFooter w:val="1"/>
  <w:documentProtection w:enforcement="0"/>
  <w:defaultTabStop w:val="420"/>
  <w:hyphenationZone w:val="36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MDNjMjE5MmI5ZWE3YmEyYTIzZjJiNmJlNjYxOTI1ZDcifQ=="/>
  </w:docVars>
  <w:rsids>
    <w:rsidRoot w:val="00000000"/>
    <w:rsid w:val="05E52D44"/>
    <w:rsid w:val="06D001BB"/>
    <w:rsid w:val="089816C4"/>
    <w:rsid w:val="092248D1"/>
    <w:rsid w:val="0F490B74"/>
    <w:rsid w:val="182F47DC"/>
    <w:rsid w:val="1A1104E0"/>
    <w:rsid w:val="28A91435"/>
    <w:rsid w:val="2C525224"/>
    <w:rsid w:val="2EDE07D4"/>
    <w:rsid w:val="35AB2FB9"/>
    <w:rsid w:val="37BE5901"/>
    <w:rsid w:val="42F038C8"/>
    <w:rsid w:val="47E2206A"/>
    <w:rsid w:val="5003209D"/>
    <w:rsid w:val="51A92320"/>
    <w:rsid w:val="550B3B7A"/>
    <w:rsid w:val="559D43FA"/>
    <w:rsid w:val="572F3778"/>
    <w:rsid w:val="5B3E6680"/>
    <w:rsid w:val="5D942587"/>
    <w:rsid w:val="621F687E"/>
    <w:rsid w:val="64054070"/>
    <w:rsid w:val="65C76E83"/>
    <w:rsid w:val="661400A8"/>
    <w:rsid w:val="6A0665BA"/>
    <w:rsid w:val="6B2F0191"/>
    <w:rsid w:val="6B2F39CE"/>
    <w:rsid w:val="6CE738E2"/>
    <w:rsid w:val="710870BC"/>
    <w:rsid w:val="72B172DF"/>
    <w:rsid w:val="78085998"/>
  </w:rsids>
  <m:mathPr>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Calibri" w:hAnsi="Calibri"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qFormat="1"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qFormat="1" w:unhideWhenUsed="0" w:uiPriority="1"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宋体" w:hAnsi="Times New Roman" w:eastAsia="宋体" w:cs="Times New Roman"/>
      <w:sz w:val="24"/>
      <w:lang w:val="en-US" w:eastAsia="zh-CN" w:bidi="ar-SA"/>
    </w:rPr>
  </w:style>
  <w:style w:type="character" w:default="1" w:styleId="6">
    <w:name w:val="Default Paragraph Font"/>
    <w:semiHidden/>
    <w:qFormat/>
    <w:uiPriority w:val="0"/>
  </w:style>
  <w:style w:type="table" w:default="1" w:styleId="5">
    <w:name w:val="Normal Table"/>
    <w:semiHidden/>
    <w:qFormat/>
    <w:uiPriority w:val="0"/>
    <w:tblPr>
      <w:tblCellMar>
        <w:top w:w="0" w:type="dxa"/>
        <w:left w:w="108" w:type="dxa"/>
        <w:bottom w:w="0" w:type="dxa"/>
        <w:right w:w="108" w:type="dxa"/>
      </w:tblCellMar>
    </w:tblPr>
  </w:style>
  <w:style w:type="paragraph" w:styleId="2">
    <w:name w:val="Body Text"/>
    <w:basedOn w:val="1"/>
    <w:next w:val="1"/>
    <w:qFormat/>
    <w:uiPriority w:val="1"/>
    <w:rPr>
      <w:rFonts w:ascii="宋体" w:hAnsi="宋体" w:eastAsia="宋体" w:cs="宋体"/>
      <w:sz w:val="24"/>
    </w:rPr>
  </w:style>
  <w:style w:type="paragraph" w:styleId="3">
    <w:name w:val="annotation text"/>
    <w:basedOn w:val="1"/>
    <w:qFormat/>
    <w:uiPriority w:val="0"/>
    <w:pPr>
      <w:jc w:val="left"/>
    </w:pPr>
    <w:rPr>
      <w:rFonts w:ascii="Times New Roman"/>
      <w:kern w:val="2"/>
      <w:sz w:val="21"/>
      <w:szCs w:val="24"/>
    </w:rPr>
  </w:style>
  <w:style w:type="paragraph" w:styleId="4">
    <w:name w:val="Body Text Indent"/>
    <w:basedOn w:val="1"/>
    <w:qFormat/>
    <w:uiPriority w:val="0"/>
    <w:pPr>
      <w:spacing w:line="360" w:lineRule="auto"/>
      <w:ind w:left="716" w:leftChars="341" w:firstLine="2"/>
    </w:pPr>
    <w:rPr>
      <w:rFonts w:ascii="宋体" w:hAnsi="宋体" w:eastAsia="宋体" w:cs="Times New Roman"/>
      <w:bCs/>
      <w:szCs w:val="24"/>
    </w:rPr>
  </w:style>
  <w:style w:type="paragraph" w:customStyle="1" w:styleId="7">
    <w:name w:val="表格文字"/>
    <w:basedOn w:val="1"/>
    <w:qFormat/>
    <w:uiPriority w:val="0"/>
    <w:pPr>
      <w:spacing w:before="25" w:after="25"/>
      <w:jc w:val="left"/>
    </w:pPr>
    <w:rPr>
      <w:rFonts w:ascii="Times New Roman"/>
      <w:bCs/>
      <w:spacing w:val="10"/>
    </w:r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numbering" Target="numbering.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13</Pages>
  <Words>8892</Words>
  <Characters>9294</Characters>
  <Lines>0</Lines>
  <Paragraphs>0</Paragraphs>
  <TotalTime>38</TotalTime>
  <ScaleCrop>false</ScaleCrop>
  <LinksUpToDate>false</LinksUpToDate>
  <CharactersWithSpaces>9330</CharactersWithSpaces>
  <Application>WPS Office_12.1.0.20784_F1E327BC-269C-435d-A152-05C5408002CA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2023-05-30T08:54:00Z</dcterms:created>
  <dc:creator>lenovo</dc:creator>
  <cp:lastModifiedBy>郑</cp:lastModifiedBy>
  <dcterms:modified xsi:type="dcterms:W3CDTF">2025-04-07T09:52:15Z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2052-12.1.0.20784</vt:lpwstr>
  </property>
  <property fmtid="{D5CDD505-2E9C-101B-9397-08002B2CF9AE}" pid="3" name="ICV">
    <vt:lpwstr>1D7AE6196696494EB9BE37DB1B668D6D_12</vt:lpwstr>
  </property>
  <property fmtid="{D5CDD505-2E9C-101B-9397-08002B2CF9AE}" pid="4" name="KSOTemplateDocerSaveRecord">
    <vt:lpwstr>eyJoZGlkIjoiNzFjZWI1ZGY0YjMyMzhlYzRiY2I0NTY1NzAyNzc0OGMiLCJ1c2VySWQiOiIzODgxMzUyNjIifQ==</vt:lpwstr>
  </property>
</Properties>
</file>