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F55469E">
      <w:pPr>
        <w:jc w:val="center"/>
        <w:rPr>
          <w:rFonts w:hint="eastAsia"/>
          <w:b/>
          <w:sz w:val="28"/>
          <w:szCs w:val="28"/>
          <w:lang w:val="en-US" w:eastAsia="zh-CN"/>
        </w:rPr>
      </w:pPr>
      <w:r>
        <w:rPr>
          <w:rFonts w:hint="eastAsia"/>
          <w:b/>
          <w:sz w:val="28"/>
          <w:szCs w:val="28"/>
          <w:lang w:val="en-US" w:eastAsia="zh-CN"/>
        </w:rPr>
        <w:t>珠海市中西医结合医院</w:t>
      </w:r>
    </w:p>
    <w:p w14:paraId="0AD9AF39">
      <w:pPr>
        <w:jc w:val="center"/>
        <w:rPr>
          <w:rFonts w:hint="eastAsia"/>
          <w:b/>
          <w:sz w:val="28"/>
          <w:szCs w:val="28"/>
        </w:rPr>
      </w:pPr>
      <w:r>
        <w:rPr>
          <w:rFonts w:hint="eastAsia"/>
          <w:b/>
          <w:sz w:val="28"/>
          <w:szCs w:val="28"/>
          <w:lang w:val="en-US" w:eastAsia="zh-CN"/>
        </w:rPr>
        <w:t>电梯年度维护保养采购项目招标</w:t>
      </w:r>
      <w:r>
        <w:rPr>
          <w:rFonts w:hint="eastAsia"/>
          <w:b/>
          <w:sz w:val="28"/>
          <w:szCs w:val="28"/>
        </w:rPr>
        <w:t>用户需求</w:t>
      </w:r>
    </w:p>
    <w:p w14:paraId="622FC57B">
      <w:pPr>
        <w:pStyle w:val="3"/>
        <w:snapToGrid w:val="0"/>
        <w:ind w:left="816" w:leftChars="229" w:hanging="335" w:hangingChars="139"/>
        <w:rPr>
          <w:rFonts w:hint="eastAsia" w:cs="宋体"/>
          <w:b/>
          <w:sz w:val="24"/>
        </w:rPr>
      </w:pPr>
      <w:r>
        <w:rPr>
          <w:rFonts w:hint="eastAsia" w:cs="宋体"/>
          <w:b/>
          <w:sz w:val="24"/>
        </w:rPr>
        <w:t>一、招标工程概况</w:t>
      </w:r>
    </w:p>
    <w:p w14:paraId="28253F0A">
      <w:pPr>
        <w:widowControl/>
        <w:adjustRightInd w:val="0"/>
        <w:snapToGrid w:val="0"/>
        <w:spacing w:line="360" w:lineRule="auto"/>
        <w:ind w:firstLine="480" w:firstLineChars="200"/>
        <w:rPr>
          <w:rFonts w:hint="eastAsia" w:ascii="宋体" w:hAnsi="宋体" w:cs="宋体"/>
          <w:bCs/>
          <w:sz w:val="24"/>
        </w:rPr>
      </w:pPr>
      <w:r>
        <w:rPr>
          <w:rFonts w:hint="eastAsia" w:ascii="宋体" w:hAnsi="宋体" w:cs="宋体"/>
          <w:bCs/>
          <w:sz w:val="24"/>
        </w:rPr>
        <w:t>1、项目名称：珠海市中西医结合医院</w:t>
      </w:r>
      <w:r>
        <w:rPr>
          <w:rFonts w:hint="eastAsia" w:ascii="宋体" w:hAnsi="宋体" w:cs="宋体"/>
          <w:bCs/>
          <w:sz w:val="24"/>
          <w:lang w:eastAsia="zh-CN"/>
        </w:rPr>
        <w:t>电梯年度维护保养</w:t>
      </w:r>
      <w:r>
        <w:rPr>
          <w:rFonts w:hint="eastAsia" w:ascii="宋体" w:hAnsi="宋体" w:cs="宋体"/>
          <w:bCs/>
          <w:sz w:val="24"/>
          <w:lang w:val="en-US" w:eastAsia="zh-CN"/>
        </w:rPr>
        <w:t>采购</w:t>
      </w:r>
      <w:r>
        <w:rPr>
          <w:rFonts w:hint="eastAsia" w:ascii="宋体" w:hAnsi="宋体" w:cs="宋体"/>
          <w:bCs/>
          <w:sz w:val="24"/>
          <w:lang w:eastAsia="zh-CN"/>
        </w:rPr>
        <w:t>项目</w:t>
      </w:r>
    </w:p>
    <w:p w14:paraId="4166BEB5">
      <w:pPr>
        <w:widowControl/>
        <w:numPr>
          <w:ilvl w:val="0"/>
          <w:numId w:val="0"/>
        </w:numPr>
        <w:adjustRightInd w:val="0"/>
        <w:snapToGrid w:val="0"/>
        <w:spacing w:line="360" w:lineRule="auto"/>
        <w:ind w:firstLine="480" w:firstLineChars="200"/>
        <w:rPr>
          <w:rFonts w:hint="default" w:ascii="宋体" w:hAnsi="宋体" w:eastAsia="宋体" w:cs="宋体"/>
          <w:bCs/>
          <w:sz w:val="24"/>
          <w:lang w:val="en-US" w:eastAsia="zh-CN"/>
        </w:rPr>
      </w:pPr>
      <w:r>
        <w:rPr>
          <w:rFonts w:hint="eastAsia" w:ascii="宋体" w:hAnsi="宋体" w:cs="宋体"/>
          <w:bCs/>
          <w:sz w:val="24"/>
          <w:lang w:val="en-US" w:eastAsia="zh-CN"/>
        </w:rPr>
        <w:t>2、</w:t>
      </w:r>
      <w:r>
        <w:rPr>
          <w:rFonts w:hint="eastAsia" w:ascii="宋体" w:hAnsi="宋体" w:cs="宋体"/>
          <w:bCs/>
          <w:sz w:val="24"/>
        </w:rPr>
        <w:t>项目地点：珠海市中西医结合医院</w:t>
      </w:r>
      <w:r>
        <w:rPr>
          <w:rFonts w:hint="eastAsia" w:ascii="宋体" w:hAnsi="宋体" w:cs="宋体"/>
          <w:bCs/>
          <w:sz w:val="24"/>
          <w:lang w:val="en-US" w:eastAsia="zh-CN"/>
        </w:rPr>
        <w:t>指定地点</w:t>
      </w:r>
    </w:p>
    <w:p w14:paraId="5D51DDAB">
      <w:pPr>
        <w:widowControl/>
        <w:numPr>
          <w:ilvl w:val="0"/>
          <w:numId w:val="0"/>
        </w:numPr>
        <w:adjustRightInd w:val="0"/>
        <w:snapToGrid w:val="0"/>
        <w:spacing w:line="360" w:lineRule="auto"/>
        <w:ind w:firstLine="480" w:firstLineChars="200"/>
        <w:rPr>
          <w:rFonts w:hint="eastAsia" w:ascii="宋体" w:hAnsi="宋体" w:cs="宋体"/>
          <w:bCs/>
          <w:sz w:val="24"/>
          <w:lang w:eastAsia="zh-CN"/>
        </w:rPr>
      </w:pPr>
      <w:r>
        <w:rPr>
          <w:rFonts w:hint="eastAsia" w:ascii="宋体" w:hAnsi="宋体" w:cs="宋体"/>
          <w:bCs/>
          <w:sz w:val="24"/>
          <w:lang w:val="en-US" w:eastAsia="zh-CN"/>
        </w:rPr>
        <w:t>3、</w:t>
      </w:r>
      <w:r>
        <w:rPr>
          <w:rFonts w:hint="eastAsia" w:ascii="宋体" w:hAnsi="宋体" w:cs="宋体"/>
          <w:bCs/>
          <w:sz w:val="24"/>
        </w:rPr>
        <w:t>项目内容:按照国家及行业标准规定内容和程序对</w:t>
      </w:r>
      <w:r>
        <w:rPr>
          <w:rFonts w:hint="eastAsia" w:ascii="宋体" w:hAnsi="宋体" w:cs="宋体"/>
          <w:bCs/>
          <w:sz w:val="24"/>
          <w:lang w:eastAsia="zh-CN"/>
        </w:rPr>
        <w:t>采购人</w:t>
      </w:r>
      <w:r>
        <w:rPr>
          <w:rFonts w:hint="eastAsia" w:ascii="宋体" w:hAnsi="宋体" w:cs="宋体"/>
          <w:bCs/>
          <w:sz w:val="24"/>
        </w:rPr>
        <w:t>1</w:t>
      </w:r>
      <w:r>
        <w:rPr>
          <w:rFonts w:hint="eastAsia" w:ascii="宋体" w:hAnsi="宋体" w:cs="宋体"/>
          <w:bCs/>
          <w:sz w:val="24"/>
          <w:lang w:val="en-US" w:eastAsia="zh-CN"/>
        </w:rPr>
        <w:t>5</w:t>
      </w:r>
      <w:r>
        <w:rPr>
          <w:rFonts w:hint="eastAsia" w:ascii="宋体" w:hAnsi="宋体" w:cs="宋体"/>
          <w:bCs/>
          <w:sz w:val="24"/>
        </w:rPr>
        <w:t>台电梯进行半月、月、季度、半年、年维保。</w:t>
      </w:r>
      <w:bookmarkStart w:id="0" w:name="_GoBack"/>
      <w:bookmarkEnd w:id="0"/>
    </w:p>
    <w:p w14:paraId="2A044175">
      <w:pPr>
        <w:widowControl/>
        <w:numPr>
          <w:ilvl w:val="0"/>
          <w:numId w:val="0"/>
        </w:numPr>
        <w:adjustRightInd w:val="0"/>
        <w:snapToGrid w:val="0"/>
        <w:spacing w:line="360" w:lineRule="auto"/>
        <w:ind w:firstLine="480" w:firstLineChars="200"/>
        <w:rPr>
          <w:rFonts w:hint="eastAsia" w:ascii="宋体" w:hAnsi="宋体" w:cs="宋体"/>
          <w:bCs/>
          <w:sz w:val="24"/>
          <w:lang w:val="en-US" w:eastAsia="zh-CN"/>
        </w:rPr>
      </w:pPr>
      <w:r>
        <w:rPr>
          <w:rFonts w:hint="eastAsia" w:ascii="宋体" w:hAnsi="宋体" w:cs="宋体"/>
          <w:bCs/>
          <w:sz w:val="24"/>
          <w:lang w:val="en-US" w:eastAsia="zh-CN"/>
        </w:rPr>
        <w:t>4、维保期限</w:t>
      </w:r>
      <w:r>
        <w:rPr>
          <w:rFonts w:hint="eastAsia" w:ascii="宋体" w:hAnsi="宋体" w:cs="宋体"/>
          <w:bCs/>
          <w:sz w:val="24"/>
          <w:lang w:eastAsia="zh-CN"/>
        </w:rPr>
        <w:t>：</w:t>
      </w:r>
      <w:r>
        <w:rPr>
          <w:rFonts w:hint="eastAsia" w:ascii="宋体" w:hAnsi="宋体" w:cs="宋体"/>
          <w:bCs/>
          <w:sz w:val="24"/>
          <w:lang w:val="en-US" w:eastAsia="zh-CN"/>
        </w:rPr>
        <w:t>1+1年（合同按照1+1模式签订）</w:t>
      </w:r>
    </w:p>
    <w:p w14:paraId="3D9A9220">
      <w:pPr>
        <w:widowControl/>
        <w:spacing w:line="360" w:lineRule="auto"/>
        <w:ind w:firstLine="482" w:firstLineChars="200"/>
        <w:jc w:val="left"/>
        <w:rPr>
          <w:rFonts w:hint="eastAsia" w:ascii="宋体" w:hAnsi="宋体" w:eastAsia="宋体" w:cs="宋体"/>
          <w:b/>
          <w:bCs/>
          <w:color w:val="000000"/>
          <w:kern w:val="0"/>
          <w:sz w:val="24"/>
          <w:szCs w:val="24"/>
          <w:lang w:eastAsia="zh-CN"/>
        </w:rPr>
      </w:pPr>
      <w:r>
        <w:rPr>
          <w:rFonts w:hint="eastAsia" w:ascii="宋体" w:hAnsi="宋体" w:eastAsia="宋体" w:cs="宋体"/>
          <w:b/>
          <w:bCs/>
          <w:color w:val="000000"/>
          <w:kern w:val="0"/>
          <w:sz w:val="24"/>
          <w:szCs w:val="24"/>
          <w:lang w:eastAsia="zh-CN"/>
        </w:rPr>
        <w:t>二、维保项目范围</w:t>
      </w:r>
    </w:p>
    <w:p w14:paraId="496DAE8F">
      <w:pPr>
        <w:widowControl/>
        <w:spacing w:line="360" w:lineRule="auto"/>
        <w:ind w:firstLine="480" w:firstLineChars="200"/>
        <w:jc w:val="left"/>
        <w:rPr>
          <w:rFonts w:hint="eastAsia" w:ascii="宋体" w:hAnsi="宋体" w:eastAsia="宋体" w:cs="宋体"/>
          <w:color w:val="000000"/>
          <w:kern w:val="0"/>
          <w:sz w:val="24"/>
          <w:szCs w:val="24"/>
          <w:lang w:val="en-US" w:eastAsia="zh-CN"/>
        </w:rPr>
      </w:pPr>
      <w:r>
        <w:rPr>
          <w:rFonts w:hint="eastAsia" w:ascii="宋体" w:hAnsi="宋体" w:eastAsia="宋体" w:cs="宋体"/>
          <w:color w:val="000000"/>
          <w:kern w:val="0"/>
          <w:sz w:val="24"/>
          <w:szCs w:val="24"/>
          <w:lang w:val="en-US" w:eastAsia="zh-CN"/>
        </w:rPr>
        <w:t>1、医院本部（拱北粤华路208号）：共1</w:t>
      </w:r>
      <w:r>
        <w:rPr>
          <w:rFonts w:hint="eastAsia" w:ascii="宋体" w:hAnsi="宋体" w:cs="宋体"/>
          <w:color w:val="000000"/>
          <w:kern w:val="0"/>
          <w:sz w:val="24"/>
          <w:szCs w:val="24"/>
          <w:lang w:val="en-US" w:eastAsia="zh-CN"/>
        </w:rPr>
        <w:t>4</w:t>
      </w:r>
      <w:r>
        <w:rPr>
          <w:rFonts w:hint="eastAsia" w:ascii="宋体" w:hAnsi="宋体" w:eastAsia="宋体" w:cs="宋体"/>
          <w:color w:val="000000"/>
          <w:kern w:val="0"/>
          <w:sz w:val="24"/>
          <w:szCs w:val="24"/>
          <w:lang w:val="en-US" w:eastAsia="zh-CN"/>
        </w:rPr>
        <w:t>台电梯</w:t>
      </w:r>
    </w:p>
    <w:p w14:paraId="76F22152">
      <w:pPr>
        <w:widowControl/>
        <w:spacing w:line="360" w:lineRule="auto"/>
        <w:ind w:firstLine="480" w:firstLineChars="200"/>
        <w:jc w:val="left"/>
        <w:rPr>
          <w:rFonts w:hint="default" w:ascii="宋体" w:hAnsi="宋体" w:eastAsia="宋体" w:cs="宋体"/>
          <w:color w:val="000000"/>
          <w:kern w:val="0"/>
          <w:sz w:val="24"/>
          <w:szCs w:val="24"/>
          <w:lang w:val="en-US" w:eastAsia="zh-CN"/>
        </w:rPr>
      </w:pPr>
      <w:r>
        <w:rPr>
          <w:rFonts w:hint="eastAsia" w:ascii="宋体" w:hAnsi="宋体" w:eastAsia="宋体" w:cs="宋体"/>
          <w:color w:val="000000"/>
          <w:kern w:val="0"/>
          <w:sz w:val="24"/>
          <w:szCs w:val="24"/>
          <w:lang w:val="en-US" w:eastAsia="zh-CN"/>
        </w:rPr>
        <w:t>2、</w:t>
      </w:r>
      <w:r>
        <w:rPr>
          <w:rFonts w:hint="default" w:ascii="宋体" w:hAnsi="宋体" w:eastAsia="宋体" w:cs="宋体"/>
          <w:color w:val="000000"/>
          <w:kern w:val="0"/>
          <w:sz w:val="24"/>
          <w:szCs w:val="24"/>
          <w:lang w:val="en-US" w:eastAsia="zh-CN"/>
        </w:rPr>
        <w:t>莲花路社康中心</w:t>
      </w:r>
      <w:r>
        <w:rPr>
          <w:rFonts w:hint="eastAsia" w:ascii="宋体" w:hAnsi="宋体" w:eastAsia="宋体" w:cs="宋体"/>
          <w:color w:val="000000"/>
          <w:kern w:val="0"/>
          <w:sz w:val="24"/>
          <w:szCs w:val="24"/>
          <w:lang w:val="en-US" w:eastAsia="zh-CN"/>
        </w:rPr>
        <w:t>（香洲区莲花路289号）：共1台电梯</w:t>
      </w:r>
    </w:p>
    <w:tbl>
      <w:tblPr>
        <w:tblStyle w:val="7"/>
        <w:tblW w:w="845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70"/>
        <w:gridCol w:w="1428"/>
        <w:gridCol w:w="1452"/>
        <w:gridCol w:w="1452"/>
        <w:gridCol w:w="948"/>
        <w:gridCol w:w="972"/>
        <w:gridCol w:w="1428"/>
      </w:tblGrid>
      <w:tr w14:paraId="61A6D3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70" w:type="dxa"/>
            <w:noWrap w:val="0"/>
            <w:vAlign w:val="center"/>
          </w:tcPr>
          <w:p w14:paraId="3EC87915">
            <w:pPr>
              <w:widowControl/>
              <w:jc w:val="center"/>
              <w:rPr>
                <w:rFonts w:hint="eastAsia" w:ascii="宋体" w:hAnsi="宋体" w:eastAsia="宋体" w:cs="宋体"/>
                <w:color w:val="000000"/>
                <w:kern w:val="0"/>
                <w:sz w:val="24"/>
                <w:szCs w:val="24"/>
                <w:vertAlign w:val="baseline"/>
                <w:lang w:val="en-US" w:eastAsia="zh-CN"/>
              </w:rPr>
            </w:pPr>
            <w:r>
              <w:rPr>
                <w:rFonts w:hint="eastAsia" w:ascii="宋体" w:hAnsi="宋体" w:eastAsia="宋体" w:cs="宋体"/>
                <w:color w:val="000000"/>
                <w:kern w:val="0"/>
                <w:sz w:val="24"/>
                <w:szCs w:val="24"/>
                <w:vertAlign w:val="baseline"/>
                <w:lang w:val="en-US" w:eastAsia="zh-CN"/>
              </w:rPr>
              <w:t>序号</w:t>
            </w:r>
          </w:p>
        </w:tc>
        <w:tc>
          <w:tcPr>
            <w:tcW w:w="1428" w:type="dxa"/>
            <w:noWrap w:val="0"/>
            <w:vAlign w:val="center"/>
          </w:tcPr>
          <w:p w14:paraId="18A06E5F">
            <w:pPr>
              <w:widowControl/>
              <w:jc w:val="center"/>
              <w:rPr>
                <w:rFonts w:hint="eastAsia" w:ascii="宋体" w:hAnsi="宋体" w:eastAsia="宋体" w:cs="宋体"/>
                <w:color w:val="000000"/>
                <w:kern w:val="0"/>
                <w:sz w:val="24"/>
                <w:szCs w:val="24"/>
                <w:vertAlign w:val="baseline"/>
                <w:lang w:val="en-US" w:eastAsia="zh-CN"/>
              </w:rPr>
            </w:pPr>
            <w:r>
              <w:rPr>
                <w:rFonts w:hint="eastAsia" w:ascii="宋体" w:hAnsi="宋体" w:eastAsia="宋体" w:cs="宋体"/>
                <w:color w:val="000000"/>
                <w:kern w:val="0"/>
                <w:sz w:val="24"/>
                <w:szCs w:val="24"/>
                <w:vertAlign w:val="baseline"/>
                <w:lang w:val="en-US" w:eastAsia="zh-CN"/>
              </w:rPr>
              <w:t>电梯编号</w:t>
            </w:r>
          </w:p>
        </w:tc>
        <w:tc>
          <w:tcPr>
            <w:tcW w:w="1452" w:type="dxa"/>
            <w:noWrap w:val="0"/>
            <w:vAlign w:val="center"/>
          </w:tcPr>
          <w:p w14:paraId="1F241A97">
            <w:pPr>
              <w:widowControl/>
              <w:jc w:val="center"/>
              <w:rPr>
                <w:rFonts w:hint="default" w:ascii="宋体" w:hAnsi="宋体" w:eastAsia="宋体" w:cs="宋体"/>
                <w:color w:val="000000"/>
                <w:kern w:val="0"/>
                <w:sz w:val="24"/>
                <w:szCs w:val="24"/>
                <w:vertAlign w:val="baseline"/>
                <w:lang w:val="en-US" w:eastAsia="zh-CN"/>
              </w:rPr>
            </w:pPr>
            <w:r>
              <w:rPr>
                <w:rFonts w:hint="eastAsia" w:ascii="宋体" w:hAnsi="宋体" w:cs="宋体"/>
                <w:color w:val="000000"/>
                <w:kern w:val="0"/>
                <w:sz w:val="24"/>
                <w:szCs w:val="24"/>
                <w:vertAlign w:val="baseline"/>
                <w:lang w:val="en-US" w:eastAsia="zh-CN"/>
              </w:rPr>
              <w:t>设备注册代码</w:t>
            </w:r>
          </w:p>
        </w:tc>
        <w:tc>
          <w:tcPr>
            <w:tcW w:w="1452" w:type="dxa"/>
            <w:noWrap w:val="0"/>
            <w:vAlign w:val="center"/>
          </w:tcPr>
          <w:p w14:paraId="278DD8ED">
            <w:pPr>
              <w:widowControl/>
              <w:jc w:val="center"/>
              <w:rPr>
                <w:rFonts w:hint="eastAsia" w:ascii="宋体" w:hAnsi="宋体" w:eastAsia="宋体" w:cs="宋体"/>
                <w:color w:val="000000"/>
                <w:kern w:val="0"/>
                <w:sz w:val="24"/>
                <w:szCs w:val="24"/>
                <w:vertAlign w:val="baseline"/>
                <w:lang w:val="en-US" w:eastAsia="zh-CN"/>
              </w:rPr>
            </w:pPr>
            <w:r>
              <w:rPr>
                <w:rFonts w:hint="eastAsia" w:ascii="宋体" w:hAnsi="宋体" w:eastAsia="宋体" w:cs="宋体"/>
                <w:color w:val="000000"/>
                <w:kern w:val="0"/>
                <w:sz w:val="24"/>
                <w:szCs w:val="24"/>
                <w:vertAlign w:val="baseline"/>
                <w:lang w:val="en-US" w:eastAsia="zh-CN"/>
              </w:rPr>
              <w:t>品牌</w:t>
            </w:r>
          </w:p>
        </w:tc>
        <w:tc>
          <w:tcPr>
            <w:tcW w:w="948" w:type="dxa"/>
            <w:noWrap w:val="0"/>
            <w:vAlign w:val="center"/>
          </w:tcPr>
          <w:p w14:paraId="69E3594D">
            <w:pPr>
              <w:widowControl/>
              <w:jc w:val="center"/>
              <w:rPr>
                <w:rFonts w:hint="default" w:ascii="宋体" w:hAnsi="宋体" w:eastAsia="宋体" w:cs="宋体"/>
                <w:color w:val="000000"/>
                <w:kern w:val="0"/>
                <w:sz w:val="24"/>
                <w:szCs w:val="24"/>
                <w:vertAlign w:val="baseline"/>
                <w:lang w:val="en-US" w:eastAsia="zh-CN"/>
              </w:rPr>
            </w:pPr>
            <w:r>
              <w:rPr>
                <w:rFonts w:hint="eastAsia" w:ascii="宋体" w:hAnsi="宋体" w:eastAsia="宋体" w:cs="宋体"/>
                <w:color w:val="000000"/>
                <w:kern w:val="0"/>
                <w:sz w:val="24"/>
                <w:szCs w:val="24"/>
                <w:vertAlign w:val="baseline"/>
                <w:lang w:val="en-US" w:eastAsia="zh-CN"/>
              </w:rPr>
              <w:t>载重（kg）</w:t>
            </w:r>
          </w:p>
        </w:tc>
        <w:tc>
          <w:tcPr>
            <w:tcW w:w="972" w:type="dxa"/>
            <w:noWrap w:val="0"/>
            <w:vAlign w:val="center"/>
          </w:tcPr>
          <w:p w14:paraId="32C5774E">
            <w:pPr>
              <w:widowControl/>
              <w:jc w:val="center"/>
              <w:rPr>
                <w:rFonts w:hint="eastAsia" w:ascii="宋体" w:hAnsi="宋体" w:eastAsia="宋体" w:cs="宋体"/>
                <w:color w:val="000000"/>
                <w:kern w:val="0"/>
                <w:sz w:val="24"/>
                <w:szCs w:val="24"/>
                <w:vertAlign w:val="baseline"/>
                <w:lang w:val="en-US" w:eastAsia="zh-CN"/>
              </w:rPr>
            </w:pPr>
            <w:r>
              <w:rPr>
                <w:rFonts w:hint="eastAsia" w:ascii="宋体" w:hAnsi="宋体" w:eastAsia="宋体" w:cs="宋体"/>
                <w:color w:val="000000"/>
                <w:kern w:val="0"/>
                <w:sz w:val="24"/>
                <w:szCs w:val="24"/>
                <w:vertAlign w:val="baseline"/>
                <w:lang w:val="en-US" w:eastAsia="zh-CN"/>
              </w:rPr>
              <w:t>速度（m/s）</w:t>
            </w:r>
          </w:p>
        </w:tc>
        <w:tc>
          <w:tcPr>
            <w:tcW w:w="1428" w:type="dxa"/>
            <w:noWrap w:val="0"/>
            <w:vAlign w:val="center"/>
          </w:tcPr>
          <w:p w14:paraId="32A5651B">
            <w:pPr>
              <w:widowControl/>
              <w:jc w:val="center"/>
              <w:rPr>
                <w:rFonts w:hint="eastAsia" w:ascii="宋体" w:hAnsi="宋体" w:eastAsia="宋体" w:cs="宋体"/>
                <w:color w:val="000000"/>
                <w:kern w:val="0"/>
                <w:sz w:val="24"/>
                <w:szCs w:val="24"/>
                <w:vertAlign w:val="baseline"/>
                <w:lang w:val="en-US" w:eastAsia="zh-CN"/>
              </w:rPr>
            </w:pPr>
            <w:r>
              <w:rPr>
                <w:rFonts w:hint="eastAsia" w:ascii="宋体" w:hAnsi="宋体" w:eastAsia="宋体" w:cs="宋体"/>
                <w:color w:val="000000"/>
                <w:kern w:val="0"/>
                <w:sz w:val="24"/>
                <w:szCs w:val="24"/>
                <w:vertAlign w:val="baseline"/>
                <w:lang w:val="en-US" w:eastAsia="zh-CN"/>
              </w:rPr>
              <w:t>备注</w:t>
            </w:r>
          </w:p>
        </w:tc>
      </w:tr>
      <w:tr w14:paraId="5DE50B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70" w:type="dxa"/>
            <w:noWrap w:val="0"/>
            <w:vAlign w:val="center"/>
          </w:tcPr>
          <w:p w14:paraId="7FC51CC7">
            <w:pPr>
              <w:widowControl/>
              <w:jc w:val="center"/>
              <w:rPr>
                <w:rFonts w:hint="default" w:ascii="宋体" w:hAnsi="宋体" w:eastAsia="宋体" w:cs="宋体"/>
                <w:color w:val="000000"/>
                <w:kern w:val="0"/>
                <w:sz w:val="24"/>
                <w:szCs w:val="24"/>
                <w:vertAlign w:val="baseline"/>
                <w:lang w:val="en-US" w:eastAsia="zh-CN"/>
              </w:rPr>
            </w:pPr>
            <w:r>
              <w:rPr>
                <w:rFonts w:hint="eastAsia" w:ascii="宋体" w:hAnsi="宋体" w:eastAsia="宋体" w:cs="宋体"/>
                <w:color w:val="000000"/>
                <w:kern w:val="0"/>
                <w:sz w:val="24"/>
                <w:szCs w:val="24"/>
                <w:vertAlign w:val="baseline"/>
                <w:lang w:val="en-US" w:eastAsia="zh-CN"/>
              </w:rPr>
              <w:t>1</w:t>
            </w:r>
          </w:p>
        </w:tc>
        <w:tc>
          <w:tcPr>
            <w:tcW w:w="1428" w:type="dxa"/>
            <w:noWrap w:val="0"/>
            <w:vAlign w:val="center"/>
          </w:tcPr>
          <w:p w14:paraId="053A194B">
            <w:pPr>
              <w:keepNext w:val="0"/>
              <w:keepLines w:val="0"/>
              <w:widowControl/>
              <w:suppressLineNumbers w:val="0"/>
              <w:jc w:val="center"/>
              <w:textAlignment w:val="center"/>
              <w:rPr>
                <w:rFonts w:hint="eastAsia" w:ascii="宋体" w:hAnsi="宋体" w:eastAsia="宋体" w:cs="宋体"/>
                <w:color w:val="000000"/>
                <w:kern w:val="0"/>
                <w:sz w:val="24"/>
                <w:szCs w:val="24"/>
                <w:vertAlign w:val="baseline"/>
                <w:lang w:val="en-US" w:eastAsia="zh-CN"/>
              </w:rPr>
            </w:pPr>
            <w:r>
              <w:rPr>
                <w:rFonts w:hint="eastAsia" w:ascii="宋体" w:hAnsi="宋体" w:eastAsia="宋体" w:cs="宋体"/>
                <w:i w:val="0"/>
                <w:iCs w:val="0"/>
                <w:color w:val="000000"/>
                <w:kern w:val="0"/>
                <w:sz w:val="22"/>
                <w:szCs w:val="22"/>
                <w:u w:val="none"/>
                <w:lang w:val="en-US" w:eastAsia="zh-CN" w:bidi="ar"/>
              </w:rPr>
              <w:t>综合楼1#梯</w:t>
            </w:r>
          </w:p>
        </w:tc>
        <w:tc>
          <w:tcPr>
            <w:tcW w:w="1452" w:type="dxa"/>
            <w:noWrap w:val="0"/>
            <w:vAlign w:val="center"/>
          </w:tcPr>
          <w:p w14:paraId="48E2D64C">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31704404002011050004</w:t>
            </w:r>
          </w:p>
        </w:tc>
        <w:tc>
          <w:tcPr>
            <w:tcW w:w="1452" w:type="dxa"/>
            <w:noWrap w:val="0"/>
            <w:vAlign w:val="center"/>
          </w:tcPr>
          <w:p w14:paraId="50CDD31D">
            <w:pPr>
              <w:keepNext w:val="0"/>
              <w:keepLines w:val="0"/>
              <w:widowControl/>
              <w:suppressLineNumbers w:val="0"/>
              <w:jc w:val="center"/>
              <w:textAlignment w:val="center"/>
              <w:rPr>
                <w:rFonts w:hint="eastAsia" w:ascii="宋体" w:hAnsi="宋体" w:eastAsia="宋体" w:cs="宋体"/>
                <w:color w:val="000000"/>
                <w:kern w:val="0"/>
                <w:sz w:val="24"/>
                <w:szCs w:val="24"/>
                <w:vertAlign w:val="baseline"/>
                <w:lang w:val="en-US" w:eastAsia="zh-CN"/>
              </w:rPr>
            </w:pPr>
            <w:r>
              <w:rPr>
                <w:rFonts w:hint="eastAsia" w:ascii="宋体" w:hAnsi="宋体" w:eastAsia="宋体" w:cs="宋体"/>
                <w:i w:val="0"/>
                <w:iCs w:val="0"/>
                <w:color w:val="000000"/>
                <w:kern w:val="0"/>
                <w:sz w:val="22"/>
                <w:szCs w:val="22"/>
                <w:u w:val="none"/>
                <w:lang w:val="en-US" w:eastAsia="zh-CN" w:bidi="ar"/>
              </w:rPr>
              <w:t>上海三菱</w:t>
            </w:r>
          </w:p>
        </w:tc>
        <w:tc>
          <w:tcPr>
            <w:tcW w:w="948" w:type="dxa"/>
            <w:noWrap w:val="0"/>
            <w:vAlign w:val="center"/>
          </w:tcPr>
          <w:p w14:paraId="5296D724">
            <w:pPr>
              <w:keepNext w:val="0"/>
              <w:keepLines w:val="0"/>
              <w:widowControl/>
              <w:suppressLineNumbers w:val="0"/>
              <w:jc w:val="center"/>
              <w:textAlignment w:val="center"/>
              <w:rPr>
                <w:rFonts w:hint="eastAsia" w:ascii="宋体" w:hAnsi="宋体" w:eastAsia="宋体" w:cs="宋体"/>
                <w:color w:val="000000"/>
                <w:kern w:val="0"/>
                <w:sz w:val="24"/>
                <w:szCs w:val="24"/>
                <w:vertAlign w:val="baseline"/>
                <w:lang w:val="en-US" w:eastAsia="zh-CN"/>
              </w:rPr>
            </w:pPr>
            <w:r>
              <w:rPr>
                <w:rFonts w:hint="eastAsia" w:ascii="宋体" w:hAnsi="宋体" w:eastAsia="宋体" w:cs="宋体"/>
                <w:i w:val="0"/>
                <w:iCs w:val="0"/>
                <w:color w:val="000000"/>
                <w:kern w:val="0"/>
                <w:sz w:val="22"/>
                <w:szCs w:val="22"/>
                <w:u w:val="none"/>
                <w:lang w:val="en-US" w:eastAsia="zh-CN" w:bidi="ar"/>
              </w:rPr>
              <w:t>1800</w:t>
            </w:r>
          </w:p>
        </w:tc>
        <w:tc>
          <w:tcPr>
            <w:tcW w:w="972" w:type="dxa"/>
            <w:noWrap w:val="0"/>
            <w:vAlign w:val="center"/>
          </w:tcPr>
          <w:p w14:paraId="0C9A3024">
            <w:pPr>
              <w:keepNext w:val="0"/>
              <w:keepLines w:val="0"/>
              <w:widowControl/>
              <w:suppressLineNumbers w:val="0"/>
              <w:jc w:val="center"/>
              <w:textAlignment w:val="center"/>
              <w:rPr>
                <w:rFonts w:hint="eastAsia" w:ascii="宋体" w:hAnsi="宋体" w:eastAsia="宋体" w:cs="宋体"/>
                <w:color w:val="000000"/>
                <w:kern w:val="0"/>
                <w:sz w:val="24"/>
                <w:szCs w:val="24"/>
                <w:vertAlign w:val="baseline"/>
                <w:lang w:val="en-US" w:eastAsia="zh-CN"/>
              </w:rPr>
            </w:pPr>
            <w:r>
              <w:rPr>
                <w:rFonts w:hint="eastAsia" w:ascii="宋体" w:hAnsi="宋体" w:eastAsia="宋体" w:cs="宋体"/>
                <w:i w:val="0"/>
                <w:iCs w:val="0"/>
                <w:color w:val="000000"/>
                <w:kern w:val="0"/>
                <w:sz w:val="22"/>
                <w:szCs w:val="22"/>
                <w:u w:val="none"/>
                <w:lang w:val="en-US" w:eastAsia="zh-CN" w:bidi="ar"/>
              </w:rPr>
              <w:t>1.75</w:t>
            </w:r>
          </w:p>
        </w:tc>
        <w:tc>
          <w:tcPr>
            <w:tcW w:w="1428" w:type="dxa"/>
            <w:noWrap w:val="0"/>
            <w:vAlign w:val="center"/>
          </w:tcPr>
          <w:p w14:paraId="3AE56BD3">
            <w:pPr>
              <w:widowControl/>
              <w:jc w:val="center"/>
              <w:rPr>
                <w:rFonts w:hint="eastAsia" w:ascii="宋体" w:hAnsi="宋体" w:eastAsia="宋体" w:cs="宋体"/>
                <w:color w:val="000000"/>
                <w:kern w:val="0"/>
                <w:sz w:val="24"/>
                <w:szCs w:val="24"/>
                <w:vertAlign w:val="baseline"/>
                <w:lang w:val="en-US" w:eastAsia="zh-CN"/>
              </w:rPr>
            </w:pPr>
          </w:p>
        </w:tc>
      </w:tr>
      <w:tr w14:paraId="6075A4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70" w:type="dxa"/>
            <w:noWrap w:val="0"/>
            <w:vAlign w:val="center"/>
          </w:tcPr>
          <w:p w14:paraId="56D42962">
            <w:pPr>
              <w:widowControl/>
              <w:jc w:val="center"/>
              <w:rPr>
                <w:rFonts w:hint="default" w:ascii="宋体" w:hAnsi="宋体" w:eastAsia="宋体" w:cs="宋体"/>
                <w:color w:val="000000"/>
                <w:kern w:val="0"/>
                <w:sz w:val="24"/>
                <w:szCs w:val="24"/>
                <w:vertAlign w:val="baseline"/>
                <w:lang w:val="en-US" w:eastAsia="zh-CN"/>
              </w:rPr>
            </w:pPr>
            <w:r>
              <w:rPr>
                <w:rFonts w:hint="eastAsia" w:ascii="宋体" w:hAnsi="宋体" w:eastAsia="宋体" w:cs="宋体"/>
                <w:color w:val="000000"/>
                <w:kern w:val="0"/>
                <w:sz w:val="24"/>
                <w:szCs w:val="24"/>
                <w:vertAlign w:val="baseline"/>
                <w:lang w:val="en-US" w:eastAsia="zh-CN"/>
              </w:rPr>
              <w:t>2</w:t>
            </w:r>
          </w:p>
        </w:tc>
        <w:tc>
          <w:tcPr>
            <w:tcW w:w="1428" w:type="dxa"/>
            <w:noWrap w:val="0"/>
            <w:vAlign w:val="center"/>
          </w:tcPr>
          <w:p w14:paraId="792A9DCB">
            <w:pPr>
              <w:keepNext w:val="0"/>
              <w:keepLines w:val="0"/>
              <w:widowControl/>
              <w:suppressLineNumbers w:val="0"/>
              <w:jc w:val="center"/>
              <w:textAlignment w:val="center"/>
              <w:rPr>
                <w:rFonts w:hint="eastAsia" w:ascii="宋体" w:hAnsi="宋体" w:eastAsia="宋体" w:cs="宋体"/>
                <w:color w:val="000000"/>
                <w:kern w:val="0"/>
                <w:sz w:val="24"/>
                <w:szCs w:val="24"/>
                <w:vertAlign w:val="baseline"/>
                <w:lang w:val="en-US" w:eastAsia="zh-CN"/>
              </w:rPr>
            </w:pPr>
            <w:r>
              <w:rPr>
                <w:rFonts w:hint="eastAsia" w:ascii="宋体" w:hAnsi="宋体" w:eastAsia="宋体" w:cs="宋体"/>
                <w:i w:val="0"/>
                <w:iCs w:val="0"/>
                <w:color w:val="000000"/>
                <w:kern w:val="0"/>
                <w:sz w:val="22"/>
                <w:szCs w:val="22"/>
                <w:u w:val="none"/>
                <w:lang w:val="en-US" w:eastAsia="zh-CN" w:bidi="ar"/>
              </w:rPr>
              <w:t>综合楼2#梯</w:t>
            </w:r>
          </w:p>
        </w:tc>
        <w:tc>
          <w:tcPr>
            <w:tcW w:w="1452" w:type="dxa"/>
            <w:noWrap w:val="0"/>
            <w:vAlign w:val="center"/>
          </w:tcPr>
          <w:p w14:paraId="4C0C1A91">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31704404002011050001</w:t>
            </w:r>
          </w:p>
        </w:tc>
        <w:tc>
          <w:tcPr>
            <w:tcW w:w="1452" w:type="dxa"/>
            <w:noWrap w:val="0"/>
            <w:vAlign w:val="center"/>
          </w:tcPr>
          <w:p w14:paraId="2FA6E61A">
            <w:pPr>
              <w:keepNext w:val="0"/>
              <w:keepLines w:val="0"/>
              <w:widowControl/>
              <w:suppressLineNumbers w:val="0"/>
              <w:jc w:val="center"/>
              <w:textAlignment w:val="center"/>
              <w:rPr>
                <w:rFonts w:hint="eastAsia" w:ascii="宋体" w:hAnsi="宋体" w:eastAsia="宋体" w:cs="宋体"/>
                <w:color w:val="000000"/>
                <w:kern w:val="0"/>
                <w:sz w:val="24"/>
                <w:szCs w:val="24"/>
                <w:vertAlign w:val="baseline"/>
                <w:lang w:val="en-US" w:eastAsia="zh-CN"/>
              </w:rPr>
            </w:pPr>
            <w:r>
              <w:rPr>
                <w:rFonts w:hint="eastAsia" w:ascii="宋体" w:hAnsi="宋体" w:eastAsia="宋体" w:cs="宋体"/>
                <w:i w:val="0"/>
                <w:iCs w:val="0"/>
                <w:color w:val="000000"/>
                <w:kern w:val="0"/>
                <w:sz w:val="22"/>
                <w:szCs w:val="22"/>
                <w:u w:val="none"/>
                <w:lang w:val="en-US" w:eastAsia="zh-CN" w:bidi="ar"/>
              </w:rPr>
              <w:t>上海三菱</w:t>
            </w:r>
          </w:p>
        </w:tc>
        <w:tc>
          <w:tcPr>
            <w:tcW w:w="948" w:type="dxa"/>
            <w:noWrap w:val="0"/>
            <w:vAlign w:val="center"/>
          </w:tcPr>
          <w:p w14:paraId="1083D3EB">
            <w:pPr>
              <w:keepNext w:val="0"/>
              <w:keepLines w:val="0"/>
              <w:widowControl/>
              <w:suppressLineNumbers w:val="0"/>
              <w:jc w:val="center"/>
              <w:textAlignment w:val="center"/>
              <w:rPr>
                <w:rFonts w:hint="eastAsia" w:ascii="宋体" w:hAnsi="宋体" w:eastAsia="宋体" w:cs="宋体"/>
                <w:color w:val="000000"/>
                <w:kern w:val="0"/>
                <w:sz w:val="24"/>
                <w:szCs w:val="24"/>
                <w:vertAlign w:val="baseline"/>
                <w:lang w:val="en-US" w:eastAsia="zh-CN"/>
              </w:rPr>
            </w:pPr>
            <w:r>
              <w:rPr>
                <w:rFonts w:hint="eastAsia" w:ascii="宋体" w:hAnsi="宋体" w:eastAsia="宋体" w:cs="宋体"/>
                <w:i w:val="0"/>
                <w:iCs w:val="0"/>
                <w:color w:val="000000"/>
                <w:kern w:val="0"/>
                <w:sz w:val="22"/>
                <w:szCs w:val="22"/>
                <w:u w:val="none"/>
                <w:lang w:val="en-US" w:eastAsia="zh-CN" w:bidi="ar"/>
              </w:rPr>
              <w:t>1800</w:t>
            </w:r>
          </w:p>
        </w:tc>
        <w:tc>
          <w:tcPr>
            <w:tcW w:w="972" w:type="dxa"/>
            <w:noWrap w:val="0"/>
            <w:vAlign w:val="center"/>
          </w:tcPr>
          <w:p w14:paraId="46651777">
            <w:pPr>
              <w:keepNext w:val="0"/>
              <w:keepLines w:val="0"/>
              <w:widowControl/>
              <w:suppressLineNumbers w:val="0"/>
              <w:jc w:val="center"/>
              <w:textAlignment w:val="center"/>
              <w:rPr>
                <w:rFonts w:hint="eastAsia" w:ascii="宋体" w:hAnsi="宋体" w:eastAsia="宋体" w:cs="宋体"/>
                <w:color w:val="000000"/>
                <w:kern w:val="0"/>
                <w:sz w:val="24"/>
                <w:szCs w:val="24"/>
                <w:vertAlign w:val="baseline"/>
                <w:lang w:val="en-US" w:eastAsia="zh-CN"/>
              </w:rPr>
            </w:pPr>
            <w:r>
              <w:rPr>
                <w:rFonts w:hint="eastAsia" w:ascii="宋体" w:hAnsi="宋体" w:eastAsia="宋体" w:cs="宋体"/>
                <w:i w:val="0"/>
                <w:iCs w:val="0"/>
                <w:color w:val="000000"/>
                <w:kern w:val="0"/>
                <w:sz w:val="22"/>
                <w:szCs w:val="22"/>
                <w:u w:val="none"/>
                <w:lang w:val="en-US" w:eastAsia="zh-CN" w:bidi="ar"/>
              </w:rPr>
              <w:t>1.75</w:t>
            </w:r>
          </w:p>
        </w:tc>
        <w:tc>
          <w:tcPr>
            <w:tcW w:w="1428" w:type="dxa"/>
            <w:noWrap w:val="0"/>
            <w:vAlign w:val="center"/>
          </w:tcPr>
          <w:p w14:paraId="03455650">
            <w:pPr>
              <w:widowControl/>
              <w:jc w:val="center"/>
              <w:rPr>
                <w:rFonts w:hint="eastAsia" w:ascii="宋体" w:hAnsi="宋体" w:eastAsia="宋体" w:cs="宋体"/>
                <w:color w:val="000000"/>
                <w:kern w:val="0"/>
                <w:sz w:val="24"/>
                <w:szCs w:val="24"/>
                <w:vertAlign w:val="baseline"/>
                <w:lang w:val="en-US" w:eastAsia="zh-CN"/>
              </w:rPr>
            </w:pPr>
          </w:p>
        </w:tc>
      </w:tr>
      <w:tr w14:paraId="77A539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70" w:type="dxa"/>
            <w:noWrap w:val="0"/>
            <w:vAlign w:val="center"/>
          </w:tcPr>
          <w:p w14:paraId="069BD840">
            <w:pPr>
              <w:widowControl/>
              <w:jc w:val="center"/>
              <w:rPr>
                <w:rFonts w:hint="default" w:ascii="宋体" w:hAnsi="宋体" w:eastAsia="宋体" w:cs="宋体"/>
                <w:color w:val="000000"/>
                <w:kern w:val="0"/>
                <w:sz w:val="24"/>
                <w:szCs w:val="24"/>
                <w:vertAlign w:val="baseline"/>
                <w:lang w:val="en-US" w:eastAsia="zh-CN"/>
              </w:rPr>
            </w:pPr>
            <w:r>
              <w:rPr>
                <w:rFonts w:hint="eastAsia" w:ascii="宋体" w:hAnsi="宋体" w:eastAsia="宋体" w:cs="宋体"/>
                <w:color w:val="000000"/>
                <w:kern w:val="0"/>
                <w:sz w:val="24"/>
                <w:szCs w:val="24"/>
                <w:vertAlign w:val="baseline"/>
                <w:lang w:val="en-US" w:eastAsia="zh-CN"/>
              </w:rPr>
              <w:t>3</w:t>
            </w:r>
          </w:p>
        </w:tc>
        <w:tc>
          <w:tcPr>
            <w:tcW w:w="1428" w:type="dxa"/>
            <w:noWrap w:val="0"/>
            <w:vAlign w:val="center"/>
          </w:tcPr>
          <w:p w14:paraId="2548FD87">
            <w:pPr>
              <w:keepNext w:val="0"/>
              <w:keepLines w:val="0"/>
              <w:widowControl/>
              <w:suppressLineNumbers w:val="0"/>
              <w:jc w:val="center"/>
              <w:textAlignment w:val="center"/>
              <w:rPr>
                <w:rFonts w:hint="eastAsia" w:ascii="宋体" w:hAnsi="宋体" w:eastAsia="宋体" w:cs="宋体"/>
                <w:color w:val="000000"/>
                <w:kern w:val="0"/>
                <w:sz w:val="24"/>
                <w:szCs w:val="24"/>
                <w:vertAlign w:val="baseline"/>
                <w:lang w:val="en-US" w:eastAsia="zh-CN"/>
              </w:rPr>
            </w:pPr>
            <w:r>
              <w:rPr>
                <w:rFonts w:hint="eastAsia" w:ascii="宋体" w:hAnsi="宋体" w:eastAsia="宋体" w:cs="宋体"/>
                <w:i w:val="0"/>
                <w:iCs w:val="0"/>
                <w:color w:val="000000"/>
                <w:kern w:val="0"/>
                <w:sz w:val="22"/>
                <w:szCs w:val="22"/>
                <w:u w:val="none"/>
                <w:lang w:val="en-US" w:eastAsia="zh-CN" w:bidi="ar"/>
              </w:rPr>
              <w:t>综合楼3#梯</w:t>
            </w:r>
          </w:p>
        </w:tc>
        <w:tc>
          <w:tcPr>
            <w:tcW w:w="1452" w:type="dxa"/>
            <w:noWrap w:val="0"/>
            <w:vAlign w:val="center"/>
          </w:tcPr>
          <w:p w14:paraId="330E5AAB">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31704404002011050002</w:t>
            </w:r>
          </w:p>
        </w:tc>
        <w:tc>
          <w:tcPr>
            <w:tcW w:w="1452" w:type="dxa"/>
            <w:noWrap w:val="0"/>
            <w:vAlign w:val="center"/>
          </w:tcPr>
          <w:p w14:paraId="236A132E">
            <w:pPr>
              <w:keepNext w:val="0"/>
              <w:keepLines w:val="0"/>
              <w:widowControl/>
              <w:suppressLineNumbers w:val="0"/>
              <w:jc w:val="center"/>
              <w:textAlignment w:val="center"/>
              <w:rPr>
                <w:rFonts w:hint="eastAsia" w:ascii="宋体" w:hAnsi="宋体" w:eastAsia="宋体" w:cs="宋体"/>
                <w:color w:val="000000"/>
                <w:kern w:val="0"/>
                <w:sz w:val="24"/>
                <w:szCs w:val="24"/>
                <w:vertAlign w:val="baseline"/>
                <w:lang w:val="en-US" w:eastAsia="zh-CN"/>
              </w:rPr>
            </w:pPr>
            <w:r>
              <w:rPr>
                <w:rFonts w:hint="eastAsia" w:ascii="宋体" w:hAnsi="宋体" w:eastAsia="宋体" w:cs="宋体"/>
                <w:i w:val="0"/>
                <w:iCs w:val="0"/>
                <w:color w:val="000000"/>
                <w:kern w:val="0"/>
                <w:sz w:val="22"/>
                <w:szCs w:val="22"/>
                <w:u w:val="none"/>
                <w:lang w:val="en-US" w:eastAsia="zh-CN" w:bidi="ar"/>
              </w:rPr>
              <w:t>上海三菱</w:t>
            </w:r>
          </w:p>
        </w:tc>
        <w:tc>
          <w:tcPr>
            <w:tcW w:w="948" w:type="dxa"/>
            <w:noWrap w:val="0"/>
            <w:vAlign w:val="center"/>
          </w:tcPr>
          <w:p w14:paraId="0251D2F4">
            <w:pPr>
              <w:keepNext w:val="0"/>
              <w:keepLines w:val="0"/>
              <w:widowControl/>
              <w:suppressLineNumbers w:val="0"/>
              <w:jc w:val="center"/>
              <w:textAlignment w:val="center"/>
              <w:rPr>
                <w:rFonts w:hint="eastAsia" w:ascii="宋体" w:hAnsi="宋体" w:eastAsia="宋体" w:cs="宋体"/>
                <w:color w:val="000000"/>
                <w:kern w:val="0"/>
                <w:sz w:val="24"/>
                <w:szCs w:val="24"/>
                <w:vertAlign w:val="baseline"/>
                <w:lang w:val="en-US" w:eastAsia="zh-CN"/>
              </w:rPr>
            </w:pPr>
            <w:r>
              <w:rPr>
                <w:rFonts w:hint="eastAsia" w:ascii="宋体" w:hAnsi="宋体" w:eastAsia="宋体" w:cs="宋体"/>
                <w:i w:val="0"/>
                <w:iCs w:val="0"/>
                <w:color w:val="000000"/>
                <w:kern w:val="0"/>
                <w:sz w:val="22"/>
                <w:szCs w:val="22"/>
                <w:u w:val="none"/>
                <w:lang w:val="en-US" w:eastAsia="zh-CN" w:bidi="ar"/>
              </w:rPr>
              <w:t>1800</w:t>
            </w:r>
          </w:p>
        </w:tc>
        <w:tc>
          <w:tcPr>
            <w:tcW w:w="972" w:type="dxa"/>
            <w:noWrap w:val="0"/>
            <w:vAlign w:val="center"/>
          </w:tcPr>
          <w:p w14:paraId="51E57F4D">
            <w:pPr>
              <w:keepNext w:val="0"/>
              <w:keepLines w:val="0"/>
              <w:widowControl/>
              <w:suppressLineNumbers w:val="0"/>
              <w:jc w:val="center"/>
              <w:textAlignment w:val="center"/>
              <w:rPr>
                <w:rFonts w:hint="eastAsia" w:ascii="宋体" w:hAnsi="宋体" w:eastAsia="宋体" w:cs="宋体"/>
                <w:color w:val="000000"/>
                <w:kern w:val="0"/>
                <w:sz w:val="24"/>
                <w:szCs w:val="24"/>
                <w:vertAlign w:val="baseline"/>
                <w:lang w:val="en-US" w:eastAsia="zh-CN"/>
              </w:rPr>
            </w:pPr>
            <w:r>
              <w:rPr>
                <w:rFonts w:hint="eastAsia" w:ascii="宋体" w:hAnsi="宋体" w:eastAsia="宋体" w:cs="宋体"/>
                <w:i w:val="0"/>
                <w:iCs w:val="0"/>
                <w:color w:val="000000"/>
                <w:kern w:val="0"/>
                <w:sz w:val="22"/>
                <w:szCs w:val="22"/>
                <w:u w:val="none"/>
                <w:lang w:val="en-US" w:eastAsia="zh-CN" w:bidi="ar"/>
              </w:rPr>
              <w:t>1.75</w:t>
            </w:r>
          </w:p>
        </w:tc>
        <w:tc>
          <w:tcPr>
            <w:tcW w:w="1428" w:type="dxa"/>
            <w:noWrap w:val="0"/>
            <w:vAlign w:val="center"/>
          </w:tcPr>
          <w:p w14:paraId="4AA2052B">
            <w:pPr>
              <w:widowControl/>
              <w:jc w:val="center"/>
              <w:rPr>
                <w:rFonts w:hint="eastAsia" w:ascii="宋体" w:hAnsi="宋体" w:eastAsia="宋体" w:cs="宋体"/>
                <w:color w:val="000000"/>
                <w:kern w:val="0"/>
                <w:sz w:val="24"/>
                <w:szCs w:val="24"/>
                <w:vertAlign w:val="baseline"/>
                <w:lang w:val="en-US" w:eastAsia="zh-CN"/>
              </w:rPr>
            </w:pPr>
          </w:p>
        </w:tc>
      </w:tr>
      <w:tr w14:paraId="76C35B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70" w:type="dxa"/>
            <w:noWrap w:val="0"/>
            <w:vAlign w:val="center"/>
          </w:tcPr>
          <w:p w14:paraId="6B107459">
            <w:pPr>
              <w:widowControl/>
              <w:jc w:val="center"/>
              <w:rPr>
                <w:rFonts w:hint="default" w:ascii="宋体" w:hAnsi="宋体" w:eastAsia="宋体" w:cs="宋体"/>
                <w:color w:val="000000"/>
                <w:kern w:val="0"/>
                <w:sz w:val="24"/>
                <w:szCs w:val="24"/>
                <w:vertAlign w:val="baseline"/>
                <w:lang w:val="en-US" w:eastAsia="zh-CN"/>
              </w:rPr>
            </w:pPr>
            <w:r>
              <w:rPr>
                <w:rFonts w:hint="eastAsia" w:ascii="宋体" w:hAnsi="宋体" w:eastAsia="宋体" w:cs="宋体"/>
                <w:color w:val="000000"/>
                <w:kern w:val="0"/>
                <w:sz w:val="24"/>
                <w:szCs w:val="24"/>
                <w:vertAlign w:val="baseline"/>
                <w:lang w:val="en-US" w:eastAsia="zh-CN"/>
              </w:rPr>
              <w:t>4</w:t>
            </w:r>
          </w:p>
        </w:tc>
        <w:tc>
          <w:tcPr>
            <w:tcW w:w="1428" w:type="dxa"/>
            <w:noWrap w:val="0"/>
            <w:vAlign w:val="center"/>
          </w:tcPr>
          <w:p w14:paraId="6DC6C5E2">
            <w:pPr>
              <w:keepNext w:val="0"/>
              <w:keepLines w:val="0"/>
              <w:widowControl/>
              <w:suppressLineNumbers w:val="0"/>
              <w:jc w:val="center"/>
              <w:textAlignment w:val="center"/>
              <w:rPr>
                <w:rFonts w:hint="eastAsia" w:ascii="宋体" w:hAnsi="宋体" w:eastAsia="宋体" w:cs="宋体"/>
                <w:color w:val="000000"/>
                <w:kern w:val="0"/>
                <w:sz w:val="24"/>
                <w:szCs w:val="24"/>
                <w:vertAlign w:val="baseline"/>
                <w:lang w:val="en-US" w:eastAsia="zh-CN"/>
              </w:rPr>
            </w:pPr>
            <w:r>
              <w:rPr>
                <w:rFonts w:hint="eastAsia" w:ascii="宋体" w:hAnsi="宋体" w:eastAsia="宋体" w:cs="宋体"/>
                <w:i w:val="0"/>
                <w:iCs w:val="0"/>
                <w:color w:val="000000"/>
                <w:kern w:val="0"/>
                <w:sz w:val="22"/>
                <w:szCs w:val="22"/>
                <w:u w:val="none"/>
                <w:lang w:val="en-US" w:eastAsia="zh-CN" w:bidi="ar"/>
              </w:rPr>
              <w:t>综合楼4#梯</w:t>
            </w:r>
          </w:p>
        </w:tc>
        <w:tc>
          <w:tcPr>
            <w:tcW w:w="1452" w:type="dxa"/>
            <w:noWrap w:val="0"/>
            <w:vAlign w:val="center"/>
          </w:tcPr>
          <w:p w14:paraId="65E73790">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31704404002011050003</w:t>
            </w:r>
          </w:p>
        </w:tc>
        <w:tc>
          <w:tcPr>
            <w:tcW w:w="1452" w:type="dxa"/>
            <w:noWrap w:val="0"/>
            <w:vAlign w:val="center"/>
          </w:tcPr>
          <w:p w14:paraId="40527B32">
            <w:pPr>
              <w:keepNext w:val="0"/>
              <w:keepLines w:val="0"/>
              <w:widowControl/>
              <w:suppressLineNumbers w:val="0"/>
              <w:jc w:val="center"/>
              <w:textAlignment w:val="center"/>
              <w:rPr>
                <w:rFonts w:hint="eastAsia" w:ascii="宋体" w:hAnsi="宋体" w:eastAsia="宋体" w:cs="宋体"/>
                <w:color w:val="000000"/>
                <w:kern w:val="0"/>
                <w:sz w:val="24"/>
                <w:szCs w:val="24"/>
                <w:vertAlign w:val="baseline"/>
                <w:lang w:val="en-US" w:eastAsia="zh-CN"/>
              </w:rPr>
            </w:pPr>
            <w:r>
              <w:rPr>
                <w:rFonts w:hint="eastAsia" w:ascii="宋体" w:hAnsi="宋体" w:eastAsia="宋体" w:cs="宋体"/>
                <w:i w:val="0"/>
                <w:iCs w:val="0"/>
                <w:color w:val="000000"/>
                <w:kern w:val="0"/>
                <w:sz w:val="22"/>
                <w:szCs w:val="22"/>
                <w:u w:val="none"/>
                <w:lang w:val="en-US" w:eastAsia="zh-CN" w:bidi="ar"/>
              </w:rPr>
              <w:t>上海三菱</w:t>
            </w:r>
          </w:p>
        </w:tc>
        <w:tc>
          <w:tcPr>
            <w:tcW w:w="948" w:type="dxa"/>
            <w:noWrap w:val="0"/>
            <w:vAlign w:val="center"/>
          </w:tcPr>
          <w:p w14:paraId="3DF1F785">
            <w:pPr>
              <w:keepNext w:val="0"/>
              <w:keepLines w:val="0"/>
              <w:widowControl/>
              <w:suppressLineNumbers w:val="0"/>
              <w:jc w:val="center"/>
              <w:textAlignment w:val="center"/>
              <w:rPr>
                <w:rFonts w:hint="eastAsia" w:ascii="宋体" w:hAnsi="宋体" w:eastAsia="宋体" w:cs="宋体"/>
                <w:color w:val="000000"/>
                <w:kern w:val="0"/>
                <w:sz w:val="24"/>
                <w:szCs w:val="24"/>
                <w:vertAlign w:val="baseline"/>
                <w:lang w:val="en-US" w:eastAsia="zh-CN"/>
              </w:rPr>
            </w:pPr>
            <w:r>
              <w:rPr>
                <w:rFonts w:hint="eastAsia" w:ascii="宋体" w:hAnsi="宋体" w:eastAsia="宋体" w:cs="宋体"/>
                <w:i w:val="0"/>
                <w:iCs w:val="0"/>
                <w:color w:val="000000"/>
                <w:kern w:val="0"/>
                <w:sz w:val="22"/>
                <w:szCs w:val="22"/>
                <w:u w:val="none"/>
                <w:lang w:val="en-US" w:eastAsia="zh-CN" w:bidi="ar"/>
              </w:rPr>
              <w:t>1800</w:t>
            </w:r>
          </w:p>
        </w:tc>
        <w:tc>
          <w:tcPr>
            <w:tcW w:w="972" w:type="dxa"/>
            <w:noWrap w:val="0"/>
            <w:vAlign w:val="center"/>
          </w:tcPr>
          <w:p w14:paraId="68C10B03">
            <w:pPr>
              <w:keepNext w:val="0"/>
              <w:keepLines w:val="0"/>
              <w:widowControl/>
              <w:suppressLineNumbers w:val="0"/>
              <w:jc w:val="center"/>
              <w:textAlignment w:val="center"/>
              <w:rPr>
                <w:rFonts w:hint="eastAsia" w:ascii="宋体" w:hAnsi="宋体" w:eastAsia="宋体" w:cs="宋体"/>
                <w:color w:val="000000"/>
                <w:kern w:val="0"/>
                <w:sz w:val="24"/>
                <w:szCs w:val="24"/>
                <w:vertAlign w:val="baseline"/>
                <w:lang w:val="en-US" w:eastAsia="zh-CN"/>
              </w:rPr>
            </w:pPr>
            <w:r>
              <w:rPr>
                <w:rFonts w:hint="eastAsia" w:ascii="宋体" w:hAnsi="宋体" w:eastAsia="宋体" w:cs="宋体"/>
                <w:i w:val="0"/>
                <w:iCs w:val="0"/>
                <w:color w:val="000000"/>
                <w:kern w:val="0"/>
                <w:sz w:val="22"/>
                <w:szCs w:val="22"/>
                <w:u w:val="none"/>
                <w:lang w:val="en-US" w:eastAsia="zh-CN" w:bidi="ar"/>
              </w:rPr>
              <w:t>1.75</w:t>
            </w:r>
          </w:p>
        </w:tc>
        <w:tc>
          <w:tcPr>
            <w:tcW w:w="1428" w:type="dxa"/>
            <w:noWrap w:val="0"/>
            <w:vAlign w:val="center"/>
          </w:tcPr>
          <w:p w14:paraId="5999314B">
            <w:pPr>
              <w:widowControl/>
              <w:jc w:val="center"/>
              <w:rPr>
                <w:rFonts w:hint="eastAsia" w:ascii="宋体" w:hAnsi="宋体" w:eastAsia="宋体" w:cs="宋体"/>
                <w:color w:val="000000"/>
                <w:kern w:val="0"/>
                <w:sz w:val="24"/>
                <w:szCs w:val="24"/>
                <w:vertAlign w:val="baseline"/>
                <w:lang w:val="en-US" w:eastAsia="zh-CN"/>
              </w:rPr>
            </w:pPr>
          </w:p>
        </w:tc>
      </w:tr>
      <w:tr w14:paraId="3ABDBE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70" w:type="dxa"/>
            <w:noWrap w:val="0"/>
            <w:vAlign w:val="center"/>
          </w:tcPr>
          <w:p w14:paraId="7C22E3B4">
            <w:pPr>
              <w:widowControl/>
              <w:jc w:val="center"/>
              <w:rPr>
                <w:rFonts w:hint="default" w:ascii="宋体" w:hAnsi="宋体" w:eastAsia="宋体" w:cs="宋体"/>
                <w:color w:val="000000"/>
                <w:kern w:val="0"/>
                <w:sz w:val="24"/>
                <w:szCs w:val="24"/>
                <w:vertAlign w:val="baseline"/>
                <w:lang w:val="en-US" w:eastAsia="zh-CN"/>
              </w:rPr>
            </w:pPr>
            <w:r>
              <w:rPr>
                <w:rFonts w:hint="eastAsia" w:ascii="宋体" w:hAnsi="宋体" w:eastAsia="宋体" w:cs="宋体"/>
                <w:color w:val="000000"/>
                <w:kern w:val="0"/>
                <w:sz w:val="24"/>
                <w:szCs w:val="24"/>
                <w:vertAlign w:val="baseline"/>
                <w:lang w:val="en-US" w:eastAsia="zh-CN"/>
              </w:rPr>
              <w:t>5</w:t>
            </w:r>
          </w:p>
        </w:tc>
        <w:tc>
          <w:tcPr>
            <w:tcW w:w="1428" w:type="dxa"/>
            <w:noWrap w:val="0"/>
            <w:vAlign w:val="center"/>
          </w:tcPr>
          <w:p w14:paraId="070B44C9">
            <w:pPr>
              <w:keepNext w:val="0"/>
              <w:keepLines w:val="0"/>
              <w:widowControl/>
              <w:suppressLineNumbers w:val="0"/>
              <w:jc w:val="center"/>
              <w:textAlignment w:val="center"/>
              <w:rPr>
                <w:rFonts w:hint="eastAsia" w:ascii="宋体" w:hAnsi="宋体" w:eastAsia="宋体" w:cs="宋体"/>
                <w:color w:val="000000"/>
                <w:kern w:val="0"/>
                <w:sz w:val="24"/>
                <w:szCs w:val="24"/>
                <w:vertAlign w:val="baseline"/>
                <w:lang w:val="en-US" w:eastAsia="zh-CN"/>
              </w:rPr>
            </w:pPr>
            <w:r>
              <w:rPr>
                <w:rFonts w:hint="eastAsia" w:ascii="宋体" w:hAnsi="宋体" w:eastAsia="宋体" w:cs="宋体"/>
                <w:i w:val="0"/>
                <w:iCs w:val="0"/>
                <w:color w:val="000000"/>
                <w:kern w:val="0"/>
                <w:sz w:val="22"/>
                <w:szCs w:val="22"/>
                <w:u w:val="none"/>
                <w:lang w:val="en-US" w:eastAsia="zh-CN" w:bidi="ar"/>
              </w:rPr>
              <w:t>综合楼5#梯</w:t>
            </w:r>
          </w:p>
        </w:tc>
        <w:tc>
          <w:tcPr>
            <w:tcW w:w="1452" w:type="dxa"/>
            <w:noWrap w:val="0"/>
            <w:vAlign w:val="center"/>
          </w:tcPr>
          <w:p w14:paraId="39191E63">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31104404002011050058</w:t>
            </w:r>
          </w:p>
        </w:tc>
        <w:tc>
          <w:tcPr>
            <w:tcW w:w="1452" w:type="dxa"/>
            <w:noWrap w:val="0"/>
            <w:vAlign w:val="center"/>
          </w:tcPr>
          <w:p w14:paraId="2DDCF52E">
            <w:pPr>
              <w:keepNext w:val="0"/>
              <w:keepLines w:val="0"/>
              <w:widowControl/>
              <w:suppressLineNumbers w:val="0"/>
              <w:jc w:val="center"/>
              <w:textAlignment w:val="center"/>
              <w:rPr>
                <w:rFonts w:hint="eastAsia" w:ascii="宋体" w:hAnsi="宋体" w:eastAsia="宋体" w:cs="宋体"/>
                <w:color w:val="000000"/>
                <w:kern w:val="0"/>
                <w:sz w:val="24"/>
                <w:szCs w:val="24"/>
                <w:vertAlign w:val="baseline"/>
                <w:lang w:val="en-US" w:eastAsia="zh-CN"/>
              </w:rPr>
            </w:pPr>
            <w:r>
              <w:rPr>
                <w:rFonts w:hint="eastAsia" w:ascii="宋体" w:hAnsi="宋体" w:eastAsia="宋体" w:cs="宋体"/>
                <w:i w:val="0"/>
                <w:iCs w:val="0"/>
                <w:color w:val="000000"/>
                <w:kern w:val="0"/>
                <w:sz w:val="22"/>
                <w:szCs w:val="22"/>
                <w:u w:val="none"/>
                <w:lang w:val="en-US" w:eastAsia="zh-CN" w:bidi="ar"/>
              </w:rPr>
              <w:t>上海三菱</w:t>
            </w:r>
          </w:p>
        </w:tc>
        <w:tc>
          <w:tcPr>
            <w:tcW w:w="948" w:type="dxa"/>
            <w:noWrap w:val="0"/>
            <w:vAlign w:val="center"/>
          </w:tcPr>
          <w:p w14:paraId="63633734">
            <w:pPr>
              <w:keepNext w:val="0"/>
              <w:keepLines w:val="0"/>
              <w:widowControl/>
              <w:suppressLineNumbers w:val="0"/>
              <w:jc w:val="center"/>
              <w:textAlignment w:val="center"/>
              <w:rPr>
                <w:rFonts w:hint="eastAsia" w:ascii="宋体" w:hAnsi="宋体" w:eastAsia="宋体" w:cs="宋体"/>
                <w:color w:val="000000"/>
                <w:kern w:val="0"/>
                <w:sz w:val="24"/>
                <w:szCs w:val="24"/>
                <w:vertAlign w:val="baseline"/>
                <w:lang w:val="en-US" w:eastAsia="zh-CN"/>
              </w:rPr>
            </w:pPr>
            <w:r>
              <w:rPr>
                <w:rFonts w:hint="eastAsia" w:ascii="宋体" w:hAnsi="宋体" w:eastAsia="宋体" w:cs="宋体"/>
                <w:i w:val="0"/>
                <w:iCs w:val="0"/>
                <w:color w:val="000000"/>
                <w:kern w:val="0"/>
                <w:sz w:val="22"/>
                <w:szCs w:val="22"/>
                <w:u w:val="none"/>
                <w:lang w:val="en-US" w:eastAsia="zh-CN" w:bidi="ar"/>
              </w:rPr>
              <w:t>1050</w:t>
            </w:r>
          </w:p>
        </w:tc>
        <w:tc>
          <w:tcPr>
            <w:tcW w:w="972" w:type="dxa"/>
            <w:noWrap w:val="0"/>
            <w:vAlign w:val="center"/>
          </w:tcPr>
          <w:p w14:paraId="6A4E5899">
            <w:pPr>
              <w:keepNext w:val="0"/>
              <w:keepLines w:val="0"/>
              <w:widowControl/>
              <w:suppressLineNumbers w:val="0"/>
              <w:jc w:val="center"/>
              <w:textAlignment w:val="center"/>
              <w:rPr>
                <w:rFonts w:hint="eastAsia" w:ascii="宋体" w:hAnsi="宋体" w:eastAsia="宋体" w:cs="宋体"/>
                <w:color w:val="000000"/>
                <w:kern w:val="0"/>
                <w:sz w:val="24"/>
                <w:szCs w:val="24"/>
                <w:vertAlign w:val="baseline"/>
                <w:lang w:val="en-US" w:eastAsia="zh-CN"/>
              </w:rPr>
            </w:pPr>
            <w:r>
              <w:rPr>
                <w:rFonts w:hint="eastAsia" w:ascii="宋体" w:hAnsi="宋体" w:eastAsia="宋体" w:cs="宋体"/>
                <w:i w:val="0"/>
                <w:iCs w:val="0"/>
                <w:color w:val="000000"/>
                <w:kern w:val="0"/>
                <w:sz w:val="22"/>
                <w:szCs w:val="22"/>
                <w:u w:val="none"/>
                <w:lang w:val="en-US" w:eastAsia="zh-CN" w:bidi="ar"/>
              </w:rPr>
              <w:t>1.75</w:t>
            </w:r>
          </w:p>
        </w:tc>
        <w:tc>
          <w:tcPr>
            <w:tcW w:w="1428" w:type="dxa"/>
            <w:noWrap w:val="0"/>
            <w:vAlign w:val="center"/>
          </w:tcPr>
          <w:p w14:paraId="59F44FEF">
            <w:pPr>
              <w:widowControl/>
              <w:jc w:val="center"/>
              <w:rPr>
                <w:rFonts w:hint="eastAsia" w:ascii="宋体" w:hAnsi="宋体" w:eastAsia="宋体" w:cs="宋体"/>
                <w:color w:val="000000"/>
                <w:kern w:val="0"/>
                <w:sz w:val="24"/>
                <w:szCs w:val="24"/>
                <w:vertAlign w:val="baseline"/>
                <w:lang w:val="en-US" w:eastAsia="zh-CN"/>
              </w:rPr>
            </w:pPr>
          </w:p>
        </w:tc>
      </w:tr>
      <w:tr w14:paraId="7F14DD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70" w:type="dxa"/>
            <w:noWrap w:val="0"/>
            <w:vAlign w:val="center"/>
          </w:tcPr>
          <w:p w14:paraId="4E734465">
            <w:pPr>
              <w:widowControl/>
              <w:jc w:val="center"/>
              <w:rPr>
                <w:rFonts w:hint="default" w:ascii="宋体" w:hAnsi="宋体" w:eastAsia="宋体" w:cs="宋体"/>
                <w:color w:val="000000"/>
                <w:kern w:val="0"/>
                <w:sz w:val="24"/>
                <w:szCs w:val="24"/>
                <w:vertAlign w:val="baseline"/>
                <w:lang w:val="en-US" w:eastAsia="zh-CN"/>
              </w:rPr>
            </w:pPr>
            <w:r>
              <w:rPr>
                <w:rFonts w:hint="eastAsia" w:ascii="宋体" w:hAnsi="宋体" w:eastAsia="宋体" w:cs="宋体"/>
                <w:color w:val="000000"/>
                <w:kern w:val="0"/>
                <w:sz w:val="24"/>
                <w:szCs w:val="24"/>
                <w:vertAlign w:val="baseline"/>
                <w:lang w:val="en-US" w:eastAsia="zh-CN"/>
              </w:rPr>
              <w:t>6</w:t>
            </w:r>
          </w:p>
        </w:tc>
        <w:tc>
          <w:tcPr>
            <w:tcW w:w="1428" w:type="dxa"/>
            <w:noWrap w:val="0"/>
            <w:vAlign w:val="center"/>
          </w:tcPr>
          <w:p w14:paraId="02ED0E72">
            <w:pPr>
              <w:keepNext w:val="0"/>
              <w:keepLines w:val="0"/>
              <w:widowControl/>
              <w:suppressLineNumbers w:val="0"/>
              <w:jc w:val="center"/>
              <w:textAlignment w:val="center"/>
              <w:rPr>
                <w:rFonts w:hint="eastAsia" w:ascii="宋体" w:hAnsi="宋体" w:eastAsia="宋体" w:cs="宋体"/>
                <w:color w:val="000000"/>
                <w:kern w:val="0"/>
                <w:sz w:val="24"/>
                <w:szCs w:val="24"/>
                <w:vertAlign w:val="baseline"/>
                <w:lang w:val="en-US" w:eastAsia="zh-CN"/>
              </w:rPr>
            </w:pPr>
            <w:r>
              <w:rPr>
                <w:rFonts w:hint="eastAsia" w:ascii="宋体" w:hAnsi="宋体" w:eastAsia="宋体" w:cs="宋体"/>
                <w:i w:val="0"/>
                <w:iCs w:val="0"/>
                <w:color w:val="000000"/>
                <w:kern w:val="0"/>
                <w:sz w:val="22"/>
                <w:szCs w:val="22"/>
                <w:u w:val="none"/>
                <w:lang w:val="en-US" w:eastAsia="zh-CN" w:bidi="ar"/>
              </w:rPr>
              <w:t>综合楼6#梯</w:t>
            </w:r>
          </w:p>
        </w:tc>
        <w:tc>
          <w:tcPr>
            <w:tcW w:w="1452" w:type="dxa"/>
            <w:noWrap w:val="0"/>
            <w:vAlign w:val="center"/>
          </w:tcPr>
          <w:p w14:paraId="3C2D56EE">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31104404002011050056</w:t>
            </w:r>
          </w:p>
        </w:tc>
        <w:tc>
          <w:tcPr>
            <w:tcW w:w="1452" w:type="dxa"/>
            <w:noWrap w:val="0"/>
            <w:vAlign w:val="center"/>
          </w:tcPr>
          <w:p w14:paraId="6071071B">
            <w:pPr>
              <w:keepNext w:val="0"/>
              <w:keepLines w:val="0"/>
              <w:widowControl/>
              <w:suppressLineNumbers w:val="0"/>
              <w:jc w:val="center"/>
              <w:textAlignment w:val="center"/>
              <w:rPr>
                <w:rFonts w:hint="eastAsia" w:ascii="宋体" w:hAnsi="宋体" w:eastAsia="宋体" w:cs="宋体"/>
                <w:color w:val="000000"/>
                <w:kern w:val="0"/>
                <w:sz w:val="24"/>
                <w:szCs w:val="24"/>
                <w:vertAlign w:val="baseline"/>
                <w:lang w:val="en-US" w:eastAsia="zh-CN"/>
              </w:rPr>
            </w:pPr>
            <w:r>
              <w:rPr>
                <w:rFonts w:hint="eastAsia" w:ascii="宋体" w:hAnsi="宋体" w:eastAsia="宋体" w:cs="宋体"/>
                <w:i w:val="0"/>
                <w:iCs w:val="0"/>
                <w:color w:val="000000"/>
                <w:kern w:val="0"/>
                <w:sz w:val="22"/>
                <w:szCs w:val="22"/>
                <w:u w:val="none"/>
                <w:lang w:val="en-US" w:eastAsia="zh-CN" w:bidi="ar"/>
              </w:rPr>
              <w:t>上海三菱</w:t>
            </w:r>
          </w:p>
        </w:tc>
        <w:tc>
          <w:tcPr>
            <w:tcW w:w="948" w:type="dxa"/>
            <w:noWrap w:val="0"/>
            <w:vAlign w:val="center"/>
          </w:tcPr>
          <w:p w14:paraId="542BF389">
            <w:pPr>
              <w:keepNext w:val="0"/>
              <w:keepLines w:val="0"/>
              <w:widowControl/>
              <w:suppressLineNumbers w:val="0"/>
              <w:jc w:val="center"/>
              <w:textAlignment w:val="center"/>
              <w:rPr>
                <w:rFonts w:hint="eastAsia" w:ascii="宋体" w:hAnsi="宋体" w:eastAsia="宋体" w:cs="宋体"/>
                <w:color w:val="000000"/>
                <w:kern w:val="0"/>
                <w:sz w:val="24"/>
                <w:szCs w:val="24"/>
                <w:vertAlign w:val="baseline"/>
                <w:lang w:val="en-US" w:eastAsia="zh-CN"/>
              </w:rPr>
            </w:pPr>
            <w:r>
              <w:rPr>
                <w:rFonts w:hint="eastAsia" w:ascii="宋体" w:hAnsi="宋体" w:eastAsia="宋体" w:cs="宋体"/>
                <w:i w:val="0"/>
                <w:iCs w:val="0"/>
                <w:color w:val="000000"/>
                <w:kern w:val="0"/>
                <w:sz w:val="22"/>
                <w:szCs w:val="22"/>
                <w:u w:val="none"/>
                <w:lang w:val="en-US" w:eastAsia="zh-CN" w:bidi="ar"/>
              </w:rPr>
              <w:t>1050</w:t>
            </w:r>
          </w:p>
        </w:tc>
        <w:tc>
          <w:tcPr>
            <w:tcW w:w="972" w:type="dxa"/>
            <w:noWrap w:val="0"/>
            <w:vAlign w:val="center"/>
          </w:tcPr>
          <w:p w14:paraId="73276012">
            <w:pPr>
              <w:keepNext w:val="0"/>
              <w:keepLines w:val="0"/>
              <w:widowControl/>
              <w:suppressLineNumbers w:val="0"/>
              <w:jc w:val="center"/>
              <w:textAlignment w:val="center"/>
              <w:rPr>
                <w:rFonts w:hint="eastAsia" w:ascii="宋体" w:hAnsi="宋体" w:eastAsia="宋体" w:cs="宋体"/>
                <w:color w:val="000000"/>
                <w:kern w:val="0"/>
                <w:sz w:val="24"/>
                <w:szCs w:val="24"/>
                <w:vertAlign w:val="baseline"/>
                <w:lang w:val="en-US" w:eastAsia="zh-CN"/>
              </w:rPr>
            </w:pPr>
            <w:r>
              <w:rPr>
                <w:rFonts w:hint="eastAsia" w:ascii="宋体" w:hAnsi="宋体" w:eastAsia="宋体" w:cs="宋体"/>
                <w:i w:val="0"/>
                <w:iCs w:val="0"/>
                <w:color w:val="000000"/>
                <w:kern w:val="0"/>
                <w:sz w:val="22"/>
                <w:szCs w:val="22"/>
                <w:u w:val="none"/>
                <w:lang w:val="en-US" w:eastAsia="zh-CN" w:bidi="ar"/>
              </w:rPr>
              <w:t>1.75</w:t>
            </w:r>
          </w:p>
        </w:tc>
        <w:tc>
          <w:tcPr>
            <w:tcW w:w="1428" w:type="dxa"/>
            <w:noWrap w:val="0"/>
            <w:vAlign w:val="center"/>
          </w:tcPr>
          <w:p w14:paraId="10DF4BAC">
            <w:pPr>
              <w:widowControl/>
              <w:jc w:val="center"/>
              <w:rPr>
                <w:rFonts w:hint="eastAsia" w:ascii="宋体" w:hAnsi="宋体" w:eastAsia="宋体" w:cs="宋体"/>
                <w:color w:val="000000"/>
                <w:kern w:val="0"/>
                <w:sz w:val="24"/>
                <w:szCs w:val="24"/>
                <w:vertAlign w:val="baseline"/>
                <w:lang w:val="en-US" w:eastAsia="zh-CN"/>
              </w:rPr>
            </w:pPr>
          </w:p>
        </w:tc>
      </w:tr>
      <w:tr w14:paraId="427BC6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70" w:type="dxa"/>
            <w:noWrap w:val="0"/>
            <w:vAlign w:val="center"/>
          </w:tcPr>
          <w:p w14:paraId="51E8C00E">
            <w:pPr>
              <w:widowControl/>
              <w:jc w:val="center"/>
              <w:rPr>
                <w:rFonts w:hint="default" w:ascii="宋体" w:hAnsi="宋体" w:eastAsia="宋体" w:cs="宋体"/>
                <w:color w:val="000000"/>
                <w:kern w:val="0"/>
                <w:sz w:val="24"/>
                <w:szCs w:val="24"/>
                <w:vertAlign w:val="baseline"/>
                <w:lang w:val="en-US" w:eastAsia="zh-CN"/>
              </w:rPr>
            </w:pPr>
            <w:r>
              <w:rPr>
                <w:rFonts w:hint="eastAsia" w:ascii="宋体" w:hAnsi="宋体" w:eastAsia="宋体" w:cs="宋体"/>
                <w:color w:val="000000"/>
                <w:kern w:val="0"/>
                <w:sz w:val="24"/>
                <w:szCs w:val="24"/>
                <w:vertAlign w:val="baseline"/>
                <w:lang w:val="en-US" w:eastAsia="zh-CN"/>
              </w:rPr>
              <w:t>7</w:t>
            </w:r>
          </w:p>
        </w:tc>
        <w:tc>
          <w:tcPr>
            <w:tcW w:w="1428" w:type="dxa"/>
            <w:noWrap w:val="0"/>
            <w:vAlign w:val="center"/>
          </w:tcPr>
          <w:p w14:paraId="02E47E0D">
            <w:pPr>
              <w:keepNext w:val="0"/>
              <w:keepLines w:val="0"/>
              <w:widowControl/>
              <w:suppressLineNumbers w:val="0"/>
              <w:jc w:val="center"/>
              <w:textAlignment w:val="center"/>
              <w:rPr>
                <w:rFonts w:hint="eastAsia" w:ascii="宋体" w:hAnsi="宋体" w:eastAsia="宋体" w:cs="宋体"/>
                <w:color w:val="000000"/>
                <w:kern w:val="0"/>
                <w:sz w:val="24"/>
                <w:szCs w:val="24"/>
                <w:vertAlign w:val="baseline"/>
                <w:lang w:val="en-US" w:eastAsia="zh-CN"/>
              </w:rPr>
            </w:pPr>
            <w:r>
              <w:rPr>
                <w:rFonts w:hint="eastAsia" w:ascii="宋体" w:hAnsi="宋体" w:eastAsia="宋体" w:cs="宋体"/>
                <w:i w:val="0"/>
                <w:iCs w:val="0"/>
                <w:color w:val="000000"/>
                <w:kern w:val="0"/>
                <w:sz w:val="22"/>
                <w:szCs w:val="22"/>
                <w:u w:val="none"/>
                <w:lang w:val="en-US" w:eastAsia="zh-CN" w:bidi="ar"/>
              </w:rPr>
              <w:t>综合楼7#梯</w:t>
            </w:r>
          </w:p>
        </w:tc>
        <w:tc>
          <w:tcPr>
            <w:tcW w:w="1452" w:type="dxa"/>
            <w:noWrap w:val="0"/>
            <w:vAlign w:val="center"/>
          </w:tcPr>
          <w:p w14:paraId="3C20139D">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31104404002011050057</w:t>
            </w:r>
          </w:p>
        </w:tc>
        <w:tc>
          <w:tcPr>
            <w:tcW w:w="1452" w:type="dxa"/>
            <w:noWrap w:val="0"/>
            <w:vAlign w:val="center"/>
          </w:tcPr>
          <w:p w14:paraId="38EDD144">
            <w:pPr>
              <w:keepNext w:val="0"/>
              <w:keepLines w:val="0"/>
              <w:widowControl/>
              <w:suppressLineNumbers w:val="0"/>
              <w:jc w:val="center"/>
              <w:textAlignment w:val="center"/>
              <w:rPr>
                <w:rFonts w:hint="eastAsia" w:ascii="宋体" w:hAnsi="宋体" w:eastAsia="宋体" w:cs="宋体"/>
                <w:color w:val="000000"/>
                <w:kern w:val="0"/>
                <w:sz w:val="24"/>
                <w:szCs w:val="24"/>
                <w:vertAlign w:val="baseline"/>
                <w:lang w:val="en-US" w:eastAsia="zh-CN"/>
              </w:rPr>
            </w:pPr>
            <w:r>
              <w:rPr>
                <w:rFonts w:hint="eastAsia" w:ascii="宋体" w:hAnsi="宋体" w:eastAsia="宋体" w:cs="宋体"/>
                <w:i w:val="0"/>
                <w:iCs w:val="0"/>
                <w:color w:val="000000"/>
                <w:kern w:val="0"/>
                <w:sz w:val="22"/>
                <w:szCs w:val="22"/>
                <w:u w:val="none"/>
                <w:lang w:val="en-US" w:eastAsia="zh-CN" w:bidi="ar"/>
              </w:rPr>
              <w:t>上海三菱</w:t>
            </w:r>
          </w:p>
        </w:tc>
        <w:tc>
          <w:tcPr>
            <w:tcW w:w="948" w:type="dxa"/>
            <w:noWrap w:val="0"/>
            <w:vAlign w:val="center"/>
          </w:tcPr>
          <w:p w14:paraId="2B6FD0B1">
            <w:pPr>
              <w:keepNext w:val="0"/>
              <w:keepLines w:val="0"/>
              <w:widowControl/>
              <w:suppressLineNumbers w:val="0"/>
              <w:jc w:val="center"/>
              <w:textAlignment w:val="center"/>
              <w:rPr>
                <w:rFonts w:hint="eastAsia" w:ascii="宋体" w:hAnsi="宋体" w:eastAsia="宋体" w:cs="宋体"/>
                <w:color w:val="000000"/>
                <w:kern w:val="0"/>
                <w:sz w:val="24"/>
                <w:szCs w:val="24"/>
                <w:vertAlign w:val="baseline"/>
                <w:lang w:val="en-US" w:eastAsia="zh-CN"/>
              </w:rPr>
            </w:pPr>
            <w:r>
              <w:rPr>
                <w:rFonts w:hint="eastAsia" w:ascii="宋体" w:hAnsi="宋体" w:eastAsia="宋体" w:cs="宋体"/>
                <w:i w:val="0"/>
                <w:iCs w:val="0"/>
                <w:color w:val="000000"/>
                <w:kern w:val="0"/>
                <w:sz w:val="22"/>
                <w:szCs w:val="22"/>
                <w:u w:val="none"/>
                <w:lang w:val="en-US" w:eastAsia="zh-CN" w:bidi="ar"/>
              </w:rPr>
              <w:t>1050</w:t>
            </w:r>
          </w:p>
        </w:tc>
        <w:tc>
          <w:tcPr>
            <w:tcW w:w="972" w:type="dxa"/>
            <w:noWrap w:val="0"/>
            <w:vAlign w:val="center"/>
          </w:tcPr>
          <w:p w14:paraId="033F574D">
            <w:pPr>
              <w:keepNext w:val="0"/>
              <w:keepLines w:val="0"/>
              <w:widowControl/>
              <w:suppressLineNumbers w:val="0"/>
              <w:jc w:val="center"/>
              <w:textAlignment w:val="center"/>
              <w:rPr>
                <w:rFonts w:hint="eastAsia" w:ascii="宋体" w:hAnsi="宋体" w:eastAsia="宋体" w:cs="宋体"/>
                <w:color w:val="000000"/>
                <w:kern w:val="0"/>
                <w:sz w:val="24"/>
                <w:szCs w:val="24"/>
                <w:vertAlign w:val="baseline"/>
                <w:lang w:val="en-US" w:eastAsia="zh-CN"/>
              </w:rPr>
            </w:pPr>
            <w:r>
              <w:rPr>
                <w:rFonts w:hint="eastAsia" w:ascii="宋体" w:hAnsi="宋体" w:eastAsia="宋体" w:cs="宋体"/>
                <w:i w:val="0"/>
                <w:iCs w:val="0"/>
                <w:color w:val="000000"/>
                <w:kern w:val="0"/>
                <w:sz w:val="22"/>
                <w:szCs w:val="22"/>
                <w:u w:val="none"/>
                <w:lang w:val="en-US" w:eastAsia="zh-CN" w:bidi="ar"/>
              </w:rPr>
              <w:t>1.75</w:t>
            </w:r>
          </w:p>
        </w:tc>
        <w:tc>
          <w:tcPr>
            <w:tcW w:w="1428" w:type="dxa"/>
            <w:noWrap w:val="0"/>
            <w:vAlign w:val="center"/>
          </w:tcPr>
          <w:p w14:paraId="4EED56B8">
            <w:pPr>
              <w:widowControl/>
              <w:jc w:val="center"/>
              <w:rPr>
                <w:rFonts w:hint="eastAsia" w:ascii="宋体" w:hAnsi="宋体" w:eastAsia="宋体" w:cs="宋体"/>
                <w:color w:val="000000"/>
                <w:kern w:val="0"/>
                <w:sz w:val="24"/>
                <w:szCs w:val="24"/>
                <w:vertAlign w:val="baseline"/>
                <w:lang w:val="en-US" w:eastAsia="zh-CN"/>
              </w:rPr>
            </w:pPr>
          </w:p>
        </w:tc>
      </w:tr>
      <w:tr w14:paraId="45FCC9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70" w:type="dxa"/>
            <w:noWrap w:val="0"/>
            <w:vAlign w:val="center"/>
          </w:tcPr>
          <w:p w14:paraId="06F86E39">
            <w:pPr>
              <w:widowControl/>
              <w:jc w:val="center"/>
              <w:rPr>
                <w:rFonts w:hint="default" w:ascii="宋体" w:hAnsi="宋体" w:eastAsia="宋体" w:cs="宋体"/>
                <w:color w:val="000000"/>
                <w:kern w:val="0"/>
                <w:sz w:val="24"/>
                <w:szCs w:val="24"/>
                <w:vertAlign w:val="baseline"/>
                <w:lang w:val="en-US" w:eastAsia="zh-CN"/>
              </w:rPr>
            </w:pPr>
            <w:r>
              <w:rPr>
                <w:rFonts w:hint="eastAsia" w:ascii="宋体" w:hAnsi="宋体" w:eastAsia="宋体" w:cs="宋体"/>
                <w:color w:val="000000"/>
                <w:kern w:val="0"/>
                <w:sz w:val="24"/>
                <w:szCs w:val="24"/>
                <w:vertAlign w:val="baseline"/>
                <w:lang w:val="en-US" w:eastAsia="zh-CN"/>
              </w:rPr>
              <w:t>8</w:t>
            </w:r>
          </w:p>
        </w:tc>
        <w:tc>
          <w:tcPr>
            <w:tcW w:w="1428" w:type="dxa"/>
            <w:noWrap w:val="0"/>
            <w:vAlign w:val="center"/>
          </w:tcPr>
          <w:p w14:paraId="6F768000">
            <w:pPr>
              <w:keepNext w:val="0"/>
              <w:keepLines w:val="0"/>
              <w:widowControl/>
              <w:suppressLineNumbers w:val="0"/>
              <w:jc w:val="center"/>
              <w:textAlignment w:val="center"/>
              <w:rPr>
                <w:rFonts w:hint="eastAsia" w:ascii="宋体" w:hAnsi="宋体" w:eastAsia="宋体" w:cs="宋体"/>
                <w:color w:val="000000"/>
                <w:kern w:val="0"/>
                <w:sz w:val="24"/>
                <w:szCs w:val="24"/>
                <w:vertAlign w:val="baseline"/>
                <w:lang w:val="en-US" w:eastAsia="zh-CN"/>
              </w:rPr>
            </w:pPr>
            <w:r>
              <w:rPr>
                <w:rFonts w:hint="eastAsia" w:ascii="宋体" w:hAnsi="宋体" w:eastAsia="宋体" w:cs="宋体"/>
                <w:i w:val="0"/>
                <w:iCs w:val="0"/>
                <w:color w:val="000000"/>
                <w:kern w:val="0"/>
                <w:sz w:val="22"/>
                <w:szCs w:val="22"/>
                <w:u w:val="none"/>
                <w:lang w:val="en-US" w:eastAsia="zh-CN" w:bidi="ar"/>
              </w:rPr>
              <w:t>外科楼</w:t>
            </w:r>
            <w:r>
              <w:rPr>
                <w:rFonts w:hint="eastAsia" w:ascii="宋体" w:hAnsi="宋体" w:cs="宋体"/>
                <w:i w:val="0"/>
                <w:iCs w:val="0"/>
                <w:color w:val="000000"/>
                <w:kern w:val="0"/>
                <w:sz w:val="22"/>
                <w:szCs w:val="22"/>
                <w:u w:val="none"/>
                <w:lang w:val="en-US" w:eastAsia="zh-CN" w:bidi="ar"/>
              </w:rPr>
              <w:t>1</w:t>
            </w:r>
            <w:r>
              <w:rPr>
                <w:rFonts w:hint="eastAsia" w:ascii="宋体" w:hAnsi="宋体" w:eastAsia="宋体" w:cs="宋体"/>
                <w:i w:val="0"/>
                <w:iCs w:val="0"/>
                <w:color w:val="000000"/>
                <w:kern w:val="0"/>
                <w:sz w:val="22"/>
                <w:szCs w:val="22"/>
                <w:u w:val="none"/>
                <w:lang w:val="en-US" w:eastAsia="zh-CN" w:bidi="ar"/>
              </w:rPr>
              <w:t>#梯</w:t>
            </w:r>
          </w:p>
        </w:tc>
        <w:tc>
          <w:tcPr>
            <w:tcW w:w="1452" w:type="dxa"/>
            <w:noWrap w:val="0"/>
            <w:vAlign w:val="center"/>
          </w:tcPr>
          <w:p w14:paraId="62F9AEEF">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31104404002022010256</w:t>
            </w:r>
          </w:p>
        </w:tc>
        <w:tc>
          <w:tcPr>
            <w:tcW w:w="1452" w:type="dxa"/>
            <w:noWrap w:val="0"/>
            <w:vAlign w:val="center"/>
          </w:tcPr>
          <w:p w14:paraId="2C99AC5F">
            <w:pPr>
              <w:keepNext w:val="0"/>
              <w:keepLines w:val="0"/>
              <w:widowControl/>
              <w:suppressLineNumbers w:val="0"/>
              <w:jc w:val="center"/>
              <w:textAlignment w:val="center"/>
              <w:rPr>
                <w:rFonts w:hint="eastAsia" w:ascii="宋体" w:hAnsi="宋体" w:eastAsia="宋体" w:cs="宋体"/>
                <w:color w:val="000000"/>
                <w:kern w:val="0"/>
                <w:sz w:val="24"/>
                <w:szCs w:val="24"/>
                <w:vertAlign w:val="baseline"/>
                <w:lang w:val="en-US" w:eastAsia="zh-CN"/>
              </w:rPr>
            </w:pPr>
            <w:r>
              <w:rPr>
                <w:rFonts w:hint="eastAsia" w:ascii="宋体" w:hAnsi="宋体" w:eastAsia="宋体" w:cs="宋体"/>
                <w:i w:val="0"/>
                <w:iCs w:val="0"/>
                <w:color w:val="000000"/>
                <w:kern w:val="0"/>
                <w:sz w:val="22"/>
                <w:szCs w:val="22"/>
                <w:u w:val="none"/>
                <w:lang w:val="en-US" w:eastAsia="zh-CN" w:bidi="ar"/>
              </w:rPr>
              <w:t>上海三菱</w:t>
            </w:r>
          </w:p>
        </w:tc>
        <w:tc>
          <w:tcPr>
            <w:tcW w:w="948" w:type="dxa"/>
            <w:noWrap w:val="0"/>
            <w:vAlign w:val="center"/>
          </w:tcPr>
          <w:p w14:paraId="34608023">
            <w:pPr>
              <w:keepNext w:val="0"/>
              <w:keepLines w:val="0"/>
              <w:widowControl/>
              <w:suppressLineNumbers w:val="0"/>
              <w:jc w:val="center"/>
              <w:textAlignment w:val="center"/>
              <w:rPr>
                <w:rFonts w:hint="eastAsia" w:ascii="宋体" w:hAnsi="宋体" w:eastAsia="宋体" w:cs="宋体"/>
                <w:color w:val="000000"/>
                <w:kern w:val="0"/>
                <w:sz w:val="24"/>
                <w:szCs w:val="24"/>
                <w:vertAlign w:val="baseline"/>
                <w:lang w:val="en-US" w:eastAsia="zh-CN"/>
              </w:rPr>
            </w:pPr>
            <w:r>
              <w:rPr>
                <w:rFonts w:hint="eastAsia" w:ascii="宋体" w:hAnsi="宋体" w:eastAsia="宋体" w:cs="宋体"/>
                <w:i w:val="0"/>
                <w:iCs w:val="0"/>
                <w:color w:val="000000"/>
                <w:kern w:val="0"/>
                <w:sz w:val="22"/>
                <w:szCs w:val="22"/>
                <w:u w:val="none"/>
                <w:lang w:val="en-US" w:eastAsia="zh-CN" w:bidi="ar"/>
              </w:rPr>
              <w:t>1</w:t>
            </w:r>
            <w:r>
              <w:rPr>
                <w:rFonts w:hint="eastAsia" w:ascii="宋体" w:hAnsi="宋体" w:cs="宋体"/>
                <w:i w:val="0"/>
                <w:iCs w:val="0"/>
                <w:color w:val="000000"/>
                <w:kern w:val="0"/>
                <w:sz w:val="22"/>
                <w:szCs w:val="22"/>
                <w:u w:val="none"/>
                <w:lang w:val="en-US" w:eastAsia="zh-CN" w:bidi="ar"/>
              </w:rPr>
              <w:t>6</w:t>
            </w:r>
            <w:r>
              <w:rPr>
                <w:rFonts w:hint="eastAsia" w:ascii="宋体" w:hAnsi="宋体" w:eastAsia="宋体" w:cs="宋体"/>
                <w:i w:val="0"/>
                <w:iCs w:val="0"/>
                <w:color w:val="000000"/>
                <w:kern w:val="0"/>
                <w:sz w:val="22"/>
                <w:szCs w:val="22"/>
                <w:u w:val="none"/>
                <w:lang w:val="en-US" w:eastAsia="zh-CN" w:bidi="ar"/>
              </w:rPr>
              <w:t>00</w:t>
            </w:r>
          </w:p>
        </w:tc>
        <w:tc>
          <w:tcPr>
            <w:tcW w:w="972" w:type="dxa"/>
            <w:noWrap w:val="0"/>
            <w:vAlign w:val="center"/>
          </w:tcPr>
          <w:p w14:paraId="06871DEB">
            <w:pPr>
              <w:keepNext w:val="0"/>
              <w:keepLines w:val="0"/>
              <w:widowControl/>
              <w:suppressLineNumbers w:val="0"/>
              <w:jc w:val="center"/>
              <w:textAlignment w:val="center"/>
              <w:rPr>
                <w:rFonts w:hint="eastAsia" w:ascii="宋体" w:hAnsi="宋体" w:eastAsia="宋体" w:cs="宋体"/>
                <w:color w:val="000000"/>
                <w:kern w:val="0"/>
                <w:sz w:val="24"/>
                <w:szCs w:val="24"/>
                <w:vertAlign w:val="baseline"/>
                <w:lang w:val="en-US" w:eastAsia="zh-CN"/>
              </w:rPr>
            </w:pPr>
            <w:r>
              <w:rPr>
                <w:rFonts w:hint="eastAsia" w:ascii="宋体" w:hAnsi="宋体" w:eastAsia="宋体" w:cs="宋体"/>
                <w:i w:val="0"/>
                <w:iCs w:val="0"/>
                <w:color w:val="000000"/>
                <w:kern w:val="0"/>
                <w:sz w:val="22"/>
                <w:szCs w:val="22"/>
                <w:u w:val="none"/>
                <w:lang w:val="en-US" w:eastAsia="zh-CN" w:bidi="ar"/>
              </w:rPr>
              <w:t>1.75</w:t>
            </w:r>
          </w:p>
        </w:tc>
        <w:tc>
          <w:tcPr>
            <w:tcW w:w="1428" w:type="dxa"/>
            <w:noWrap w:val="0"/>
            <w:vAlign w:val="center"/>
          </w:tcPr>
          <w:p w14:paraId="03D8F366">
            <w:pPr>
              <w:widowControl/>
              <w:jc w:val="center"/>
              <w:rPr>
                <w:rFonts w:hint="eastAsia" w:ascii="宋体" w:hAnsi="宋体" w:eastAsia="宋体" w:cs="宋体"/>
                <w:color w:val="000000"/>
                <w:kern w:val="0"/>
                <w:sz w:val="24"/>
                <w:szCs w:val="24"/>
                <w:vertAlign w:val="baseline"/>
                <w:lang w:val="en-US" w:eastAsia="zh-CN"/>
              </w:rPr>
            </w:pPr>
          </w:p>
        </w:tc>
      </w:tr>
      <w:tr w14:paraId="3774AC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70" w:type="dxa"/>
            <w:noWrap w:val="0"/>
            <w:vAlign w:val="center"/>
          </w:tcPr>
          <w:p w14:paraId="1871684C">
            <w:pPr>
              <w:widowControl/>
              <w:jc w:val="center"/>
              <w:rPr>
                <w:rFonts w:hint="default" w:ascii="宋体" w:hAnsi="宋体" w:eastAsia="宋体" w:cs="宋体"/>
                <w:color w:val="000000"/>
                <w:kern w:val="0"/>
                <w:sz w:val="24"/>
                <w:szCs w:val="24"/>
                <w:vertAlign w:val="baseline"/>
                <w:lang w:val="en-US" w:eastAsia="zh-CN"/>
              </w:rPr>
            </w:pPr>
            <w:r>
              <w:rPr>
                <w:rFonts w:hint="eastAsia" w:ascii="宋体" w:hAnsi="宋体" w:eastAsia="宋体" w:cs="宋体"/>
                <w:color w:val="000000"/>
                <w:kern w:val="0"/>
                <w:sz w:val="24"/>
                <w:szCs w:val="24"/>
                <w:vertAlign w:val="baseline"/>
                <w:lang w:val="en-US" w:eastAsia="zh-CN"/>
              </w:rPr>
              <w:t>9</w:t>
            </w:r>
          </w:p>
        </w:tc>
        <w:tc>
          <w:tcPr>
            <w:tcW w:w="1428" w:type="dxa"/>
            <w:noWrap w:val="0"/>
            <w:vAlign w:val="center"/>
          </w:tcPr>
          <w:p w14:paraId="6F89123D">
            <w:pPr>
              <w:keepNext w:val="0"/>
              <w:keepLines w:val="0"/>
              <w:widowControl/>
              <w:suppressLineNumbers w:val="0"/>
              <w:jc w:val="center"/>
              <w:textAlignment w:val="center"/>
              <w:rPr>
                <w:rFonts w:hint="eastAsia" w:ascii="宋体" w:hAnsi="宋体" w:eastAsia="宋体" w:cs="宋体"/>
                <w:color w:val="000000"/>
                <w:kern w:val="0"/>
                <w:sz w:val="24"/>
                <w:szCs w:val="24"/>
                <w:vertAlign w:val="baseline"/>
                <w:lang w:val="en-US" w:eastAsia="zh-CN"/>
              </w:rPr>
            </w:pPr>
            <w:r>
              <w:rPr>
                <w:rFonts w:hint="eastAsia" w:ascii="宋体" w:hAnsi="宋体" w:eastAsia="宋体" w:cs="宋体"/>
                <w:i w:val="0"/>
                <w:iCs w:val="0"/>
                <w:color w:val="000000"/>
                <w:kern w:val="0"/>
                <w:sz w:val="22"/>
                <w:szCs w:val="22"/>
                <w:u w:val="none"/>
                <w:lang w:val="en-US" w:eastAsia="zh-CN" w:bidi="ar"/>
              </w:rPr>
              <w:t>外科楼</w:t>
            </w:r>
            <w:r>
              <w:rPr>
                <w:rFonts w:hint="eastAsia" w:ascii="宋体" w:hAnsi="宋体" w:cs="宋体"/>
                <w:i w:val="0"/>
                <w:iCs w:val="0"/>
                <w:color w:val="000000"/>
                <w:kern w:val="0"/>
                <w:sz w:val="22"/>
                <w:szCs w:val="22"/>
                <w:u w:val="none"/>
                <w:lang w:val="en-US" w:eastAsia="zh-CN" w:bidi="ar"/>
              </w:rPr>
              <w:t>2</w:t>
            </w:r>
            <w:r>
              <w:rPr>
                <w:rFonts w:hint="eastAsia" w:ascii="宋体" w:hAnsi="宋体" w:eastAsia="宋体" w:cs="宋体"/>
                <w:i w:val="0"/>
                <w:iCs w:val="0"/>
                <w:color w:val="000000"/>
                <w:kern w:val="0"/>
                <w:sz w:val="22"/>
                <w:szCs w:val="22"/>
                <w:u w:val="none"/>
                <w:lang w:val="en-US" w:eastAsia="zh-CN" w:bidi="ar"/>
              </w:rPr>
              <w:t>#梯</w:t>
            </w:r>
          </w:p>
        </w:tc>
        <w:tc>
          <w:tcPr>
            <w:tcW w:w="1452" w:type="dxa"/>
            <w:noWrap w:val="0"/>
            <w:vAlign w:val="center"/>
          </w:tcPr>
          <w:p w14:paraId="2192EDD1">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31104404002022060146</w:t>
            </w:r>
          </w:p>
        </w:tc>
        <w:tc>
          <w:tcPr>
            <w:tcW w:w="1452" w:type="dxa"/>
            <w:noWrap w:val="0"/>
            <w:vAlign w:val="center"/>
          </w:tcPr>
          <w:p w14:paraId="0E251361">
            <w:pPr>
              <w:keepNext w:val="0"/>
              <w:keepLines w:val="0"/>
              <w:widowControl/>
              <w:suppressLineNumbers w:val="0"/>
              <w:jc w:val="center"/>
              <w:textAlignment w:val="center"/>
              <w:rPr>
                <w:rFonts w:hint="eastAsia" w:ascii="宋体" w:hAnsi="宋体" w:eastAsia="宋体" w:cs="宋体"/>
                <w:color w:val="000000"/>
                <w:kern w:val="0"/>
                <w:sz w:val="24"/>
                <w:szCs w:val="24"/>
                <w:vertAlign w:val="baseline"/>
                <w:lang w:val="en-US" w:eastAsia="zh-CN"/>
              </w:rPr>
            </w:pPr>
            <w:r>
              <w:rPr>
                <w:rFonts w:hint="eastAsia" w:ascii="宋体" w:hAnsi="宋体" w:eastAsia="宋体" w:cs="宋体"/>
                <w:i w:val="0"/>
                <w:iCs w:val="0"/>
                <w:color w:val="000000"/>
                <w:kern w:val="0"/>
                <w:sz w:val="22"/>
                <w:szCs w:val="22"/>
                <w:u w:val="none"/>
                <w:lang w:val="en-US" w:eastAsia="zh-CN" w:bidi="ar"/>
              </w:rPr>
              <w:t>上海三菱</w:t>
            </w:r>
          </w:p>
        </w:tc>
        <w:tc>
          <w:tcPr>
            <w:tcW w:w="948" w:type="dxa"/>
            <w:noWrap w:val="0"/>
            <w:vAlign w:val="center"/>
          </w:tcPr>
          <w:p w14:paraId="293A17BB">
            <w:pPr>
              <w:keepNext w:val="0"/>
              <w:keepLines w:val="0"/>
              <w:widowControl/>
              <w:suppressLineNumbers w:val="0"/>
              <w:jc w:val="center"/>
              <w:textAlignment w:val="center"/>
              <w:rPr>
                <w:rFonts w:hint="eastAsia" w:ascii="宋体" w:hAnsi="宋体" w:eastAsia="宋体" w:cs="宋体"/>
                <w:color w:val="000000"/>
                <w:kern w:val="0"/>
                <w:sz w:val="24"/>
                <w:szCs w:val="24"/>
                <w:vertAlign w:val="baseline"/>
                <w:lang w:val="en-US" w:eastAsia="zh-CN"/>
              </w:rPr>
            </w:pPr>
            <w:r>
              <w:rPr>
                <w:rFonts w:hint="eastAsia" w:ascii="宋体" w:hAnsi="宋体" w:eastAsia="宋体" w:cs="宋体"/>
                <w:i w:val="0"/>
                <w:iCs w:val="0"/>
                <w:color w:val="000000"/>
                <w:kern w:val="0"/>
                <w:sz w:val="22"/>
                <w:szCs w:val="22"/>
                <w:u w:val="none"/>
                <w:lang w:val="en-US" w:eastAsia="zh-CN" w:bidi="ar"/>
              </w:rPr>
              <w:t>1</w:t>
            </w:r>
            <w:r>
              <w:rPr>
                <w:rFonts w:hint="eastAsia" w:ascii="宋体" w:hAnsi="宋体" w:cs="宋体"/>
                <w:i w:val="0"/>
                <w:iCs w:val="0"/>
                <w:color w:val="000000"/>
                <w:kern w:val="0"/>
                <w:sz w:val="22"/>
                <w:szCs w:val="22"/>
                <w:u w:val="none"/>
                <w:lang w:val="en-US" w:eastAsia="zh-CN" w:bidi="ar"/>
              </w:rPr>
              <w:t>6</w:t>
            </w:r>
            <w:r>
              <w:rPr>
                <w:rFonts w:hint="eastAsia" w:ascii="宋体" w:hAnsi="宋体" w:eastAsia="宋体" w:cs="宋体"/>
                <w:i w:val="0"/>
                <w:iCs w:val="0"/>
                <w:color w:val="000000"/>
                <w:kern w:val="0"/>
                <w:sz w:val="22"/>
                <w:szCs w:val="22"/>
                <w:u w:val="none"/>
                <w:lang w:val="en-US" w:eastAsia="zh-CN" w:bidi="ar"/>
              </w:rPr>
              <w:t>00</w:t>
            </w:r>
          </w:p>
        </w:tc>
        <w:tc>
          <w:tcPr>
            <w:tcW w:w="972" w:type="dxa"/>
            <w:noWrap w:val="0"/>
            <w:vAlign w:val="center"/>
          </w:tcPr>
          <w:p w14:paraId="45F33DBA">
            <w:pPr>
              <w:keepNext w:val="0"/>
              <w:keepLines w:val="0"/>
              <w:widowControl/>
              <w:suppressLineNumbers w:val="0"/>
              <w:jc w:val="center"/>
              <w:textAlignment w:val="center"/>
              <w:rPr>
                <w:rFonts w:hint="eastAsia" w:ascii="宋体" w:hAnsi="宋体" w:eastAsia="宋体" w:cs="宋体"/>
                <w:color w:val="000000"/>
                <w:kern w:val="0"/>
                <w:sz w:val="24"/>
                <w:szCs w:val="24"/>
                <w:vertAlign w:val="baseline"/>
                <w:lang w:val="en-US" w:eastAsia="zh-CN"/>
              </w:rPr>
            </w:pPr>
            <w:r>
              <w:rPr>
                <w:rFonts w:hint="eastAsia" w:ascii="宋体" w:hAnsi="宋体" w:eastAsia="宋体" w:cs="宋体"/>
                <w:i w:val="0"/>
                <w:iCs w:val="0"/>
                <w:color w:val="000000"/>
                <w:kern w:val="0"/>
                <w:sz w:val="22"/>
                <w:szCs w:val="22"/>
                <w:u w:val="none"/>
                <w:lang w:val="en-US" w:eastAsia="zh-CN" w:bidi="ar"/>
              </w:rPr>
              <w:t>1.75</w:t>
            </w:r>
          </w:p>
        </w:tc>
        <w:tc>
          <w:tcPr>
            <w:tcW w:w="1428" w:type="dxa"/>
            <w:noWrap w:val="0"/>
            <w:vAlign w:val="center"/>
          </w:tcPr>
          <w:p w14:paraId="1CC91D6D">
            <w:pPr>
              <w:widowControl/>
              <w:jc w:val="center"/>
              <w:rPr>
                <w:rFonts w:hint="eastAsia" w:ascii="宋体" w:hAnsi="宋体" w:eastAsia="宋体" w:cs="宋体"/>
                <w:color w:val="000000"/>
                <w:kern w:val="0"/>
                <w:sz w:val="24"/>
                <w:szCs w:val="24"/>
                <w:vertAlign w:val="baseline"/>
                <w:lang w:val="en-US" w:eastAsia="zh-CN"/>
              </w:rPr>
            </w:pPr>
          </w:p>
        </w:tc>
      </w:tr>
      <w:tr w14:paraId="4323FF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70" w:type="dxa"/>
            <w:noWrap w:val="0"/>
            <w:vAlign w:val="center"/>
          </w:tcPr>
          <w:p w14:paraId="3E0A48E7">
            <w:pPr>
              <w:widowControl/>
              <w:jc w:val="center"/>
              <w:rPr>
                <w:rFonts w:hint="default" w:ascii="宋体" w:hAnsi="宋体" w:eastAsia="宋体" w:cs="宋体"/>
                <w:color w:val="000000"/>
                <w:kern w:val="0"/>
                <w:sz w:val="24"/>
                <w:szCs w:val="24"/>
                <w:vertAlign w:val="baseline"/>
                <w:lang w:val="en-US" w:eastAsia="zh-CN"/>
              </w:rPr>
            </w:pPr>
            <w:r>
              <w:rPr>
                <w:rFonts w:hint="eastAsia" w:ascii="宋体" w:hAnsi="宋体" w:cs="宋体"/>
                <w:color w:val="000000"/>
                <w:kern w:val="0"/>
                <w:sz w:val="24"/>
                <w:szCs w:val="24"/>
                <w:vertAlign w:val="baseline"/>
                <w:lang w:val="en-US" w:eastAsia="zh-CN"/>
              </w:rPr>
              <w:t>10</w:t>
            </w:r>
          </w:p>
        </w:tc>
        <w:tc>
          <w:tcPr>
            <w:tcW w:w="1428" w:type="dxa"/>
            <w:noWrap w:val="0"/>
            <w:vAlign w:val="center"/>
          </w:tcPr>
          <w:p w14:paraId="2B0F5F61">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外科楼</w:t>
            </w:r>
            <w:r>
              <w:rPr>
                <w:rFonts w:hint="eastAsia" w:ascii="宋体" w:hAnsi="宋体" w:cs="宋体"/>
                <w:i w:val="0"/>
                <w:iCs w:val="0"/>
                <w:color w:val="000000"/>
                <w:kern w:val="0"/>
                <w:sz w:val="22"/>
                <w:szCs w:val="22"/>
                <w:u w:val="none"/>
                <w:lang w:val="en-US" w:eastAsia="zh-CN" w:bidi="ar"/>
              </w:rPr>
              <w:t>3</w:t>
            </w:r>
            <w:r>
              <w:rPr>
                <w:rFonts w:hint="eastAsia" w:ascii="宋体" w:hAnsi="宋体" w:eastAsia="宋体" w:cs="宋体"/>
                <w:i w:val="0"/>
                <w:iCs w:val="0"/>
                <w:color w:val="000000"/>
                <w:kern w:val="0"/>
                <w:sz w:val="22"/>
                <w:szCs w:val="22"/>
                <w:u w:val="none"/>
                <w:lang w:val="en-US" w:eastAsia="zh-CN" w:bidi="ar"/>
              </w:rPr>
              <w:t>#梯</w:t>
            </w:r>
          </w:p>
        </w:tc>
        <w:tc>
          <w:tcPr>
            <w:tcW w:w="1452" w:type="dxa"/>
            <w:noWrap w:val="0"/>
            <w:vAlign w:val="center"/>
          </w:tcPr>
          <w:p w14:paraId="6833D391">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31104404002022050036</w:t>
            </w:r>
          </w:p>
        </w:tc>
        <w:tc>
          <w:tcPr>
            <w:tcW w:w="1452" w:type="dxa"/>
            <w:noWrap w:val="0"/>
            <w:vAlign w:val="center"/>
          </w:tcPr>
          <w:p w14:paraId="4E1430A6">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上海三菱</w:t>
            </w:r>
          </w:p>
        </w:tc>
        <w:tc>
          <w:tcPr>
            <w:tcW w:w="948" w:type="dxa"/>
            <w:noWrap w:val="0"/>
            <w:vAlign w:val="center"/>
          </w:tcPr>
          <w:p w14:paraId="6F377DC8">
            <w:pPr>
              <w:keepNext w:val="0"/>
              <w:keepLines w:val="0"/>
              <w:widowControl/>
              <w:suppressLineNumbers w:val="0"/>
              <w:jc w:val="center"/>
              <w:textAlignment w:val="center"/>
              <w:rPr>
                <w:rFonts w:hint="default" w:ascii="宋体" w:hAnsi="宋体" w:eastAsia="宋体" w:cs="宋体"/>
                <w:i w:val="0"/>
                <w:iCs w:val="0"/>
                <w:color w:val="000000"/>
                <w:kern w:val="0"/>
                <w:sz w:val="22"/>
                <w:szCs w:val="22"/>
                <w:u w:val="none"/>
                <w:lang w:val="en-US" w:eastAsia="zh-CN" w:bidi="ar"/>
              </w:rPr>
            </w:pPr>
            <w:r>
              <w:rPr>
                <w:rFonts w:hint="eastAsia" w:ascii="宋体" w:hAnsi="宋体" w:cs="宋体"/>
                <w:i w:val="0"/>
                <w:iCs w:val="0"/>
                <w:color w:val="000000"/>
                <w:kern w:val="0"/>
                <w:sz w:val="22"/>
                <w:szCs w:val="22"/>
                <w:u w:val="none"/>
                <w:lang w:val="en-US" w:eastAsia="zh-CN" w:bidi="ar"/>
              </w:rPr>
              <w:t>1600</w:t>
            </w:r>
          </w:p>
        </w:tc>
        <w:tc>
          <w:tcPr>
            <w:tcW w:w="972" w:type="dxa"/>
            <w:noWrap w:val="0"/>
            <w:vAlign w:val="center"/>
          </w:tcPr>
          <w:p w14:paraId="285B5595">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1.75</w:t>
            </w:r>
          </w:p>
        </w:tc>
        <w:tc>
          <w:tcPr>
            <w:tcW w:w="1428" w:type="dxa"/>
            <w:noWrap w:val="0"/>
            <w:vAlign w:val="center"/>
          </w:tcPr>
          <w:p w14:paraId="02CD5851">
            <w:pPr>
              <w:widowControl/>
              <w:jc w:val="center"/>
              <w:rPr>
                <w:rFonts w:hint="eastAsia" w:ascii="宋体" w:hAnsi="宋体" w:eastAsia="宋体" w:cs="宋体"/>
                <w:color w:val="000000"/>
                <w:kern w:val="0"/>
                <w:sz w:val="24"/>
                <w:szCs w:val="24"/>
                <w:vertAlign w:val="baseline"/>
                <w:lang w:val="en-US" w:eastAsia="zh-CN"/>
              </w:rPr>
            </w:pPr>
          </w:p>
        </w:tc>
      </w:tr>
      <w:tr w14:paraId="74A153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70" w:type="dxa"/>
            <w:noWrap w:val="0"/>
            <w:vAlign w:val="center"/>
          </w:tcPr>
          <w:p w14:paraId="6A437F31">
            <w:pPr>
              <w:widowControl/>
              <w:jc w:val="center"/>
              <w:rPr>
                <w:rFonts w:hint="default" w:ascii="宋体" w:hAnsi="宋体" w:eastAsia="宋体" w:cs="宋体"/>
                <w:color w:val="000000"/>
                <w:kern w:val="0"/>
                <w:sz w:val="24"/>
                <w:szCs w:val="24"/>
                <w:vertAlign w:val="baseline"/>
                <w:lang w:val="en-US" w:eastAsia="zh-CN"/>
              </w:rPr>
            </w:pPr>
            <w:r>
              <w:rPr>
                <w:rFonts w:hint="eastAsia" w:ascii="宋体" w:hAnsi="宋体" w:eastAsia="宋体" w:cs="宋体"/>
                <w:color w:val="000000"/>
                <w:kern w:val="0"/>
                <w:sz w:val="24"/>
                <w:szCs w:val="24"/>
                <w:vertAlign w:val="baseline"/>
                <w:lang w:val="en-US" w:eastAsia="zh-CN"/>
              </w:rPr>
              <w:t>1</w:t>
            </w:r>
            <w:r>
              <w:rPr>
                <w:rFonts w:hint="eastAsia" w:ascii="宋体" w:hAnsi="宋体" w:cs="宋体"/>
                <w:color w:val="000000"/>
                <w:kern w:val="0"/>
                <w:sz w:val="24"/>
                <w:szCs w:val="24"/>
                <w:vertAlign w:val="baseline"/>
                <w:lang w:val="en-US" w:eastAsia="zh-CN"/>
              </w:rPr>
              <w:t>1</w:t>
            </w:r>
          </w:p>
        </w:tc>
        <w:tc>
          <w:tcPr>
            <w:tcW w:w="1428" w:type="dxa"/>
            <w:noWrap w:val="0"/>
            <w:vAlign w:val="center"/>
          </w:tcPr>
          <w:p w14:paraId="50B9ADC2">
            <w:pPr>
              <w:keepNext w:val="0"/>
              <w:keepLines w:val="0"/>
              <w:widowControl/>
              <w:suppressLineNumbers w:val="0"/>
              <w:jc w:val="center"/>
              <w:textAlignment w:val="center"/>
              <w:rPr>
                <w:rFonts w:hint="eastAsia" w:ascii="宋体" w:hAnsi="宋体" w:eastAsia="宋体" w:cs="宋体"/>
                <w:color w:val="000000"/>
                <w:kern w:val="0"/>
                <w:sz w:val="24"/>
                <w:szCs w:val="24"/>
                <w:vertAlign w:val="baseline"/>
                <w:lang w:val="en-US" w:eastAsia="zh-CN"/>
              </w:rPr>
            </w:pPr>
            <w:r>
              <w:rPr>
                <w:rFonts w:hint="eastAsia" w:ascii="宋体" w:hAnsi="宋体" w:eastAsia="宋体" w:cs="宋体"/>
                <w:i w:val="0"/>
                <w:iCs w:val="0"/>
                <w:color w:val="000000"/>
                <w:kern w:val="0"/>
                <w:sz w:val="22"/>
                <w:szCs w:val="22"/>
                <w:u w:val="none"/>
                <w:lang w:val="en-US" w:eastAsia="zh-CN" w:bidi="ar"/>
              </w:rPr>
              <w:t>门诊楼1#梯</w:t>
            </w:r>
          </w:p>
        </w:tc>
        <w:tc>
          <w:tcPr>
            <w:tcW w:w="1452" w:type="dxa"/>
            <w:noWrap w:val="0"/>
            <w:vAlign w:val="center"/>
          </w:tcPr>
          <w:p w14:paraId="71E4D290">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31104404002019070104</w:t>
            </w:r>
          </w:p>
        </w:tc>
        <w:tc>
          <w:tcPr>
            <w:tcW w:w="1452" w:type="dxa"/>
            <w:noWrap w:val="0"/>
            <w:vAlign w:val="center"/>
          </w:tcPr>
          <w:p w14:paraId="695C3456">
            <w:pPr>
              <w:keepNext w:val="0"/>
              <w:keepLines w:val="0"/>
              <w:widowControl/>
              <w:suppressLineNumbers w:val="0"/>
              <w:jc w:val="center"/>
              <w:textAlignment w:val="center"/>
              <w:rPr>
                <w:rFonts w:hint="eastAsia" w:ascii="宋体" w:hAnsi="宋体" w:eastAsia="宋体" w:cs="宋体"/>
                <w:color w:val="000000"/>
                <w:kern w:val="0"/>
                <w:sz w:val="24"/>
                <w:szCs w:val="24"/>
                <w:vertAlign w:val="baseline"/>
                <w:lang w:val="en-US" w:eastAsia="zh-CN"/>
              </w:rPr>
            </w:pPr>
            <w:r>
              <w:rPr>
                <w:rFonts w:hint="eastAsia" w:ascii="宋体" w:hAnsi="宋体" w:eastAsia="宋体" w:cs="宋体"/>
                <w:i w:val="0"/>
                <w:iCs w:val="0"/>
                <w:color w:val="000000"/>
                <w:kern w:val="0"/>
                <w:sz w:val="22"/>
                <w:szCs w:val="22"/>
                <w:u w:val="none"/>
                <w:lang w:val="en-US" w:eastAsia="zh-CN" w:bidi="ar"/>
              </w:rPr>
              <w:t>日立</w:t>
            </w:r>
          </w:p>
        </w:tc>
        <w:tc>
          <w:tcPr>
            <w:tcW w:w="948" w:type="dxa"/>
            <w:noWrap w:val="0"/>
            <w:vAlign w:val="center"/>
          </w:tcPr>
          <w:p w14:paraId="5430FC3D">
            <w:pPr>
              <w:keepNext w:val="0"/>
              <w:keepLines w:val="0"/>
              <w:widowControl/>
              <w:suppressLineNumbers w:val="0"/>
              <w:jc w:val="center"/>
              <w:textAlignment w:val="center"/>
              <w:rPr>
                <w:rFonts w:hint="eastAsia" w:ascii="宋体" w:hAnsi="宋体" w:eastAsia="宋体" w:cs="宋体"/>
                <w:color w:val="000000"/>
                <w:kern w:val="0"/>
                <w:sz w:val="24"/>
                <w:szCs w:val="24"/>
                <w:vertAlign w:val="baseline"/>
                <w:lang w:val="en-US" w:eastAsia="zh-CN"/>
              </w:rPr>
            </w:pPr>
            <w:r>
              <w:rPr>
                <w:rFonts w:hint="eastAsia" w:ascii="宋体" w:hAnsi="宋体" w:eastAsia="宋体" w:cs="宋体"/>
                <w:i w:val="0"/>
                <w:iCs w:val="0"/>
                <w:color w:val="000000"/>
                <w:kern w:val="0"/>
                <w:sz w:val="22"/>
                <w:szCs w:val="22"/>
                <w:u w:val="none"/>
                <w:lang w:val="en-US" w:eastAsia="zh-CN" w:bidi="ar"/>
              </w:rPr>
              <w:t>1600</w:t>
            </w:r>
          </w:p>
        </w:tc>
        <w:tc>
          <w:tcPr>
            <w:tcW w:w="972" w:type="dxa"/>
            <w:noWrap w:val="0"/>
            <w:vAlign w:val="center"/>
          </w:tcPr>
          <w:p w14:paraId="561D76FB">
            <w:pPr>
              <w:keepNext w:val="0"/>
              <w:keepLines w:val="0"/>
              <w:widowControl/>
              <w:suppressLineNumbers w:val="0"/>
              <w:jc w:val="center"/>
              <w:textAlignment w:val="center"/>
              <w:rPr>
                <w:rFonts w:hint="eastAsia" w:ascii="宋体" w:hAnsi="宋体" w:eastAsia="宋体" w:cs="宋体"/>
                <w:color w:val="000000"/>
                <w:kern w:val="0"/>
                <w:sz w:val="24"/>
                <w:szCs w:val="24"/>
                <w:vertAlign w:val="baseline"/>
                <w:lang w:val="en-US" w:eastAsia="zh-CN"/>
              </w:rPr>
            </w:pPr>
            <w:r>
              <w:rPr>
                <w:rFonts w:hint="eastAsia" w:ascii="宋体" w:hAnsi="宋体" w:eastAsia="宋体" w:cs="宋体"/>
                <w:i w:val="0"/>
                <w:iCs w:val="0"/>
                <w:color w:val="000000"/>
                <w:kern w:val="0"/>
                <w:sz w:val="22"/>
                <w:szCs w:val="22"/>
                <w:u w:val="none"/>
                <w:lang w:val="en-US" w:eastAsia="zh-CN" w:bidi="ar"/>
              </w:rPr>
              <w:t>1.0</w:t>
            </w:r>
          </w:p>
        </w:tc>
        <w:tc>
          <w:tcPr>
            <w:tcW w:w="1428" w:type="dxa"/>
            <w:noWrap w:val="0"/>
            <w:vAlign w:val="center"/>
          </w:tcPr>
          <w:p w14:paraId="41FFDA37">
            <w:pPr>
              <w:widowControl/>
              <w:jc w:val="center"/>
              <w:rPr>
                <w:rFonts w:hint="eastAsia" w:ascii="宋体" w:hAnsi="宋体" w:eastAsia="宋体" w:cs="宋体"/>
                <w:color w:val="000000"/>
                <w:kern w:val="0"/>
                <w:sz w:val="24"/>
                <w:szCs w:val="24"/>
                <w:vertAlign w:val="baseline"/>
                <w:lang w:val="en-US" w:eastAsia="zh-CN"/>
              </w:rPr>
            </w:pPr>
          </w:p>
        </w:tc>
      </w:tr>
      <w:tr w14:paraId="006C4C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70" w:type="dxa"/>
            <w:noWrap w:val="0"/>
            <w:vAlign w:val="center"/>
          </w:tcPr>
          <w:p w14:paraId="0BB1811B">
            <w:pPr>
              <w:widowControl/>
              <w:jc w:val="center"/>
              <w:rPr>
                <w:rFonts w:hint="default" w:ascii="宋体" w:hAnsi="宋体" w:eastAsia="宋体" w:cs="宋体"/>
                <w:color w:val="000000"/>
                <w:kern w:val="0"/>
                <w:sz w:val="24"/>
                <w:szCs w:val="24"/>
                <w:vertAlign w:val="baseline"/>
                <w:lang w:val="en-US" w:eastAsia="zh-CN"/>
              </w:rPr>
            </w:pPr>
            <w:r>
              <w:rPr>
                <w:rFonts w:hint="eastAsia" w:ascii="宋体" w:hAnsi="宋体" w:eastAsia="宋体" w:cs="宋体"/>
                <w:color w:val="000000"/>
                <w:kern w:val="0"/>
                <w:sz w:val="24"/>
                <w:szCs w:val="24"/>
                <w:vertAlign w:val="baseline"/>
                <w:lang w:val="en-US" w:eastAsia="zh-CN"/>
              </w:rPr>
              <w:t>1</w:t>
            </w:r>
            <w:r>
              <w:rPr>
                <w:rFonts w:hint="eastAsia" w:ascii="宋体" w:hAnsi="宋体" w:cs="宋体"/>
                <w:color w:val="000000"/>
                <w:kern w:val="0"/>
                <w:sz w:val="24"/>
                <w:szCs w:val="24"/>
                <w:vertAlign w:val="baseline"/>
                <w:lang w:val="en-US" w:eastAsia="zh-CN"/>
              </w:rPr>
              <w:t>2</w:t>
            </w:r>
          </w:p>
        </w:tc>
        <w:tc>
          <w:tcPr>
            <w:tcW w:w="1428" w:type="dxa"/>
            <w:noWrap w:val="0"/>
            <w:vAlign w:val="center"/>
          </w:tcPr>
          <w:p w14:paraId="2C0716DE">
            <w:pPr>
              <w:keepNext w:val="0"/>
              <w:keepLines w:val="0"/>
              <w:widowControl/>
              <w:suppressLineNumbers w:val="0"/>
              <w:jc w:val="center"/>
              <w:textAlignment w:val="center"/>
              <w:rPr>
                <w:rFonts w:hint="eastAsia" w:ascii="宋体" w:hAnsi="宋体" w:eastAsia="宋体" w:cs="宋体"/>
                <w:color w:val="000000"/>
                <w:kern w:val="0"/>
                <w:sz w:val="24"/>
                <w:szCs w:val="24"/>
                <w:vertAlign w:val="baseline"/>
                <w:lang w:val="en-US" w:eastAsia="zh-CN"/>
              </w:rPr>
            </w:pPr>
            <w:r>
              <w:rPr>
                <w:rFonts w:hint="eastAsia" w:ascii="宋体" w:hAnsi="宋体" w:eastAsia="宋体" w:cs="宋体"/>
                <w:i w:val="0"/>
                <w:iCs w:val="0"/>
                <w:color w:val="000000"/>
                <w:kern w:val="0"/>
                <w:sz w:val="22"/>
                <w:szCs w:val="22"/>
                <w:u w:val="none"/>
                <w:lang w:val="en-US" w:eastAsia="zh-CN" w:bidi="ar"/>
              </w:rPr>
              <w:t>门诊楼2#梯</w:t>
            </w:r>
          </w:p>
        </w:tc>
        <w:tc>
          <w:tcPr>
            <w:tcW w:w="1452" w:type="dxa"/>
            <w:noWrap w:val="0"/>
            <w:vAlign w:val="center"/>
          </w:tcPr>
          <w:p w14:paraId="2C26783D">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31104404002019090023</w:t>
            </w:r>
          </w:p>
        </w:tc>
        <w:tc>
          <w:tcPr>
            <w:tcW w:w="1452" w:type="dxa"/>
            <w:noWrap w:val="0"/>
            <w:vAlign w:val="center"/>
          </w:tcPr>
          <w:p w14:paraId="2E892495">
            <w:pPr>
              <w:keepNext w:val="0"/>
              <w:keepLines w:val="0"/>
              <w:widowControl/>
              <w:suppressLineNumbers w:val="0"/>
              <w:jc w:val="center"/>
              <w:textAlignment w:val="center"/>
              <w:rPr>
                <w:rFonts w:hint="eastAsia" w:ascii="宋体" w:hAnsi="宋体" w:eastAsia="宋体" w:cs="宋体"/>
                <w:color w:val="000000"/>
                <w:kern w:val="0"/>
                <w:sz w:val="24"/>
                <w:szCs w:val="24"/>
                <w:vertAlign w:val="baseline"/>
                <w:lang w:val="en-US" w:eastAsia="zh-CN"/>
              </w:rPr>
            </w:pPr>
            <w:r>
              <w:rPr>
                <w:rFonts w:hint="eastAsia" w:ascii="宋体" w:hAnsi="宋体" w:eastAsia="宋体" w:cs="宋体"/>
                <w:i w:val="0"/>
                <w:iCs w:val="0"/>
                <w:color w:val="000000"/>
                <w:kern w:val="0"/>
                <w:sz w:val="22"/>
                <w:szCs w:val="22"/>
                <w:u w:val="none"/>
                <w:lang w:val="en-US" w:eastAsia="zh-CN" w:bidi="ar"/>
              </w:rPr>
              <w:t>日立</w:t>
            </w:r>
          </w:p>
        </w:tc>
        <w:tc>
          <w:tcPr>
            <w:tcW w:w="948" w:type="dxa"/>
            <w:noWrap w:val="0"/>
            <w:vAlign w:val="center"/>
          </w:tcPr>
          <w:p w14:paraId="3B21D02C">
            <w:pPr>
              <w:keepNext w:val="0"/>
              <w:keepLines w:val="0"/>
              <w:widowControl/>
              <w:suppressLineNumbers w:val="0"/>
              <w:jc w:val="center"/>
              <w:textAlignment w:val="center"/>
              <w:rPr>
                <w:rFonts w:hint="eastAsia" w:ascii="宋体" w:hAnsi="宋体" w:eastAsia="宋体" w:cs="宋体"/>
                <w:color w:val="000000"/>
                <w:kern w:val="0"/>
                <w:sz w:val="24"/>
                <w:szCs w:val="24"/>
                <w:vertAlign w:val="baseline"/>
                <w:lang w:val="en-US" w:eastAsia="zh-CN"/>
              </w:rPr>
            </w:pPr>
            <w:r>
              <w:rPr>
                <w:rFonts w:hint="eastAsia" w:ascii="宋体" w:hAnsi="宋体" w:eastAsia="宋体" w:cs="宋体"/>
                <w:i w:val="0"/>
                <w:iCs w:val="0"/>
                <w:color w:val="000000"/>
                <w:kern w:val="0"/>
                <w:sz w:val="22"/>
                <w:szCs w:val="22"/>
                <w:u w:val="none"/>
                <w:lang w:val="en-US" w:eastAsia="zh-CN" w:bidi="ar"/>
              </w:rPr>
              <w:t>1600</w:t>
            </w:r>
          </w:p>
        </w:tc>
        <w:tc>
          <w:tcPr>
            <w:tcW w:w="972" w:type="dxa"/>
            <w:noWrap w:val="0"/>
            <w:vAlign w:val="center"/>
          </w:tcPr>
          <w:p w14:paraId="65D9FB0E">
            <w:pPr>
              <w:keepNext w:val="0"/>
              <w:keepLines w:val="0"/>
              <w:widowControl/>
              <w:suppressLineNumbers w:val="0"/>
              <w:jc w:val="center"/>
              <w:textAlignment w:val="center"/>
              <w:rPr>
                <w:rFonts w:hint="eastAsia" w:ascii="宋体" w:hAnsi="宋体" w:eastAsia="宋体" w:cs="宋体"/>
                <w:color w:val="000000"/>
                <w:kern w:val="0"/>
                <w:sz w:val="24"/>
                <w:szCs w:val="24"/>
                <w:vertAlign w:val="baseline"/>
                <w:lang w:val="en-US" w:eastAsia="zh-CN"/>
              </w:rPr>
            </w:pPr>
            <w:r>
              <w:rPr>
                <w:rFonts w:hint="eastAsia" w:ascii="宋体" w:hAnsi="宋体" w:eastAsia="宋体" w:cs="宋体"/>
                <w:i w:val="0"/>
                <w:iCs w:val="0"/>
                <w:color w:val="000000"/>
                <w:kern w:val="0"/>
                <w:sz w:val="22"/>
                <w:szCs w:val="22"/>
                <w:u w:val="none"/>
                <w:lang w:val="en-US" w:eastAsia="zh-CN" w:bidi="ar"/>
              </w:rPr>
              <w:t>1.0</w:t>
            </w:r>
          </w:p>
        </w:tc>
        <w:tc>
          <w:tcPr>
            <w:tcW w:w="1428" w:type="dxa"/>
            <w:noWrap w:val="0"/>
            <w:vAlign w:val="center"/>
          </w:tcPr>
          <w:p w14:paraId="4295F6FF">
            <w:pPr>
              <w:widowControl/>
              <w:jc w:val="center"/>
              <w:rPr>
                <w:rFonts w:hint="eastAsia" w:ascii="宋体" w:hAnsi="宋体" w:eastAsia="宋体" w:cs="宋体"/>
                <w:color w:val="000000"/>
                <w:kern w:val="0"/>
                <w:sz w:val="24"/>
                <w:szCs w:val="24"/>
                <w:vertAlign w:val="baseline"/>
                <w:lang w:val="en-US" w:eastAsia="zh-CN"/>
              </w:rPr>
            </w:pPr>
          </w:p>
        </w:tc>
      </w:tr>
      <w:tr w14:paraId="650CA8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70" w:type="dxa"/>
            <w:noWrap w:val="0"/>
            <w:vAlign w:val="center"/>
          </w:tcPr>
          <w:p w14:paraId="622005D0">
            <w:pPr>
              <w:widowControl/>
              <w:jc w:val="center"/>
              <w:rPr>
                <w:rFonts w:hint="default" w:ascii="宋体" w:hAnsi="宋体" w:eastAsia="宋体" w:cs="宋体"/>
                <w:color w:val="000000"/>
                <w:kern w:val="0"/>
                <w:sz w:val="24"/>
                <w:szCs w:val="24"/>
                <w:vertAlign w:val="baseline"/>
                <w:lang w:val="en-US" w:eastAsia="zh-CN"/>
              </w:rPr>
            </w:pPr>
            <w:r>
              <w:rPr>
                <w:rFonts w:hint="eastAsia" w:ascii="宋体" w:hAnsi="宋体" w:eastAsia="宋体" w:cs="宋体"/>
                <w:color w:val="000000"/>
                <w:kern w:val="0"/>
                <w:sz w:val="24"/>
                <w:szCs w:val="24"/>
                <w:vertAlign w:val="baseline"/>
                <w:lang w:val="en-US" w:eastAsia="zh-CN"/>
              </w:rPr>
              <w:t>1</w:t>
            </w:r>
            <w:r>
              <w:rPr>
                <w:rFonts w:hint="eastAsia" w:ascii="宋体" w:hAnsi="宋体" w:cs="宋体"/>
                <w:color w:val="000000"/>
                <w:kern w:val="0"/>
                <w:sz w:val="24"/>
                <w:szCs w:val="24"/>
                <w:vertAlign w:val="baseline"/>
                <w:lang w:val="en-US" w:eastAsia="zh-CN"/>
              </w:rPr>
              <w:t>3</w:t>
            </w:r>
          </w:p>
        </w:tc>
        <w:tc>
          <w:tcPr>
            <w:tcW w:w="1428" w:type="dxa"/>
            <w:noWrap w:val="0"/>
            <w:vAlign w:val="center"/>
          </w:tcPr>
          <w:p w14:paraId="6181AE86">
            <w:pPr>
              <w:keepNext w:val="0"/>
              <w:keepLines w:val="0"/>
              <w:widowControl/>
              <w:suppressLineNumbers w:val="0"/>
              <w:jc w:val="center"/>
              <w:textAlignment w:val="center"/>
              <w:rPr>
                <w:rFonts w:hint="eastAsia" w:ascii="宋体" w:hAnsi="宋体" w:eastAsia="宋体" w:cs="宋体"/>
                <w:color w:val="000000"/>
                <w:kern w:val="0"/>
                <w:sz w:val="24"/>
                <w:szCs w:val="24"/>
                <w:vertAlign w:val="baseline"/>
                <w:lang w:val="en-US" w:eastAsia="zh-CN"/>
              </w:rPr>
            </w:pPr>
            <w:r>
              <w:rPr>
                <w:rFonts w:hint="eastAsia" w:ascii="宋体" w:hAnsi="宋体" w:eastAsia="宋体" w:cs="宋体"/>
                <w:i w:val="0"/>
                <w:iCs w:val="0"/>
                <w:color w:val="000000"/>
                <w:kern w:val="0"/>
                <w:sz w:val="22"/>
                <w:szCs w:val="22"/>
                <w:u w:val="none"/>
                <w:lang w:val="en-US" w:eastAsia="zh-CN" w:bidi="ar"/>
              </w:rPr>
              <w:t>门诊楼3#梯</w:t>
            </w:r>
          </w:p>
        </w:tc>
        <w:tc>
          <w:tcPr>
            <w:tcW w:w="1452" w:type="dxa"/>
            <w:noWrap w:val="0"/>
            <w:vAlign w:val="center"/>
          </w:tcPr>
          <w:p w14:paraId="13D16B9A">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31104404002019090024</w:t>
            </w:r>
          </w:p>
        </w:tc>
        <w:tc>
          <w:tcPr>
            <w:tcW w:w="1452" w:type="dxa"/>
            <w:noWrap w:val="0"/>
            <w:vAlign w:val="center"/>
          </w:tcPr>
          <w:p w14:paraId="2EA8268D">
            <w:pPr>
              <w:keepNext w:val="0"/>
              <w:keepLines w:val="0"/>
              <w:widowControl/>
              <w:suppressLineNumbers w:val="0"/>
              <w:jc w:val="center"/>
              <w:textAlignment w:val="center"/>
              <w:rPr>
                <w:rFonts w:hint="eastAsia" w:ascii="宋体" w:hAnsi="宋体" w:eastAsia="宋体" w:cs="宋体"/>
                <w:color w:val="000000"/>
                <w:kern w:val="0"/>
                <w:sz w:val="24"/>
                <w:szCs w:val="24"/>
                <w:vertAlign w:val="baseline"/>
                <w:lang w:val="en-US" w:eastAsia="zh-CN"/>
              </w:rPr>
            </w:pPr>
            <w:r>
              <w:rPr>
                <w:rFonts w:hint="eastAsia" w:ascii="宋体" w:hAnsi="宋体" w:eastAsia="宋体" w:cs="宋体"/>
                <w:i w:val="0"/>
                <w:iCs w:val="0"/>
                <w:color w:val="000000"/>
                <w:kern w:val="0"/>
                <w:sz w:val="22"/>
                <w:szCs w:val="22"/>
                <w:u w:val="none"/>
                <w:lang w:val="en-US" w:eastAsia="zh-CN" w:bidi="ar"/>
              </w:rPr>
              <w:t>日立</w:t>
            </w:r>
          </w:p>
        </w:tc>
        <w:tc>
          <w:tcPr>
            <w:tcW w:w="948" w:type="dxa"/>
            <w:noWrap w:val="0"/>
            <w:vAlign w:val="center"/>
          </w:tcPr>
          <w:p w14:paraId="1802412E">
            <w:pPr>
              <w:keepNext w:val="0"/>
              <w:keepLines w:val="0"/>
              <w:widowControl/>
              <w:suppressLineNumbers w:val="0"/>
              <w:jc w:val="center"/>
              <w:textAlignment w:val="center"/>
              <w:rPr>
                <w:rFonts w:hint="eastAsia" w:ascii="宋体" w:hAnsi="宋体" w:eastAsia="宋体" w:cs="宋体"/>
                <w:color w:val="000000"/>
                <w:kern w:val="0"/>
                <w:sz w:val="24"/>
                <w:szCs w:val="24"/>
                <w:vertAlign w:val="baseline"/>
                <w:lang w:val="en-US" w:eastAsia="zh-CN"/>
              </w:rPr>
            </w:pPr>
            <w:r>
              <w:rPr>
                <w:rFonts w:hint="eastAsia" w:ascii="宋体" w:hAnsi="宋体" w:eastAsia="宋体" w:cs="宋体"/>
                <w:i w:val="0"/>
                <w:iCs w:val="0"/>
                <w:color w:val="000000"/>
                <w:kern w:val="0"/>
                <w:sz w:val="22"/>
                <w:szCs w:val="22"/>
                <w:u w:val="none"/>
                <w:lang w:val="en-US" w:eastAsia="zh-CN" w:bidi="ar"/>
              </w:rPr>
              <w:t>1600</w:t>
            </w:r>
          </w:p>
        </w:tc>
        <w:tc>
          <w:tcPr>
            <w:tcW w:w="972" w:type="dxa"/>
            <w:noWrap w:val="0"/>
            <w:vAlign w:val="center"/>
          </w:tcPr>
          <w:p w14:paraId="64CE1B6E">
            <w:pPr>
              <w:keepNext w:val="0"/>
              <w:keepLines w:val="0"/>
              <w:widowControl/>
              <w:suppressLineNumbers w:val="0"/>
              <w:jc w:val="center"/>
              <w:textAlignment w:val="center"/>
              <w:rPr>
                <w:rFonts w:hint="eastAsia" w:ascii="宋体" w:hAnsi="宋体" w:eastAsia="宋体" w:cs="宋体"/>
                <w:color w:val="000000"/>
                <w:kern w:val="0"/>
                <w:sz w:val="24"/>
                <w:szCs w:val="24"/>
                <w:vertAlign w:val="baseline"/>
                <w:lang w:val="en-US" w:eastAsia="zh-CN"/>
              </w:rPr>
            </w:pPr>
            <w:r>
              <w:rPr>
                <w:rFonts w:hint="eastAsia" w:ascii="宋体" w:hAnsi="宋体" w:eastAsia="宋体" w:cs="宋体"/>
                <w:i w:val="0"/>
                <w:iCs w:val="0"/>
                <w:color w:val="000000"/>
                <w:kern w:val="0"/>
                <w:sz w:val="22"/>
                <w:szCs w:val="22"/>
                <w:u w:val="none"/>
                <w:lang w:val="en-US" w:eastAsia="zh-CN" w:bidi="ar"/>
              </w:rPr>
              <w:t>1.0</w:t>
            </w:r>
          </w:p>
        </w:tc>
        <w:tc>
          <w:tcPr>
            <w:tcW w:w="1428" w:type="dxa"/>
            <w:noWrap w:val="0"/>
            <w:vAlign w:val="center"/>
          </w:tcPr>
          <w:p w14:paraId="3BBEA61F">
            <w:pPr>
              <w:widowControl/>
              <w:jc w:val="center"/>
              <w:rPr>
                <w:rFonts w:hint="eastAsia" w:ascii="宋体" w:hAnsi="宋体" w:eastAsia="宋体" w:cs="宋体"/>
                <w:color w:val="000000"/>
                <w:kern w:val="0"/>
                <w:sz w:val="24"/>
                <w:szCs w:val="24"/>
                <w:vertAlign w:val="baseline"/>
                <w:lang w:val="en-US" w:eastAsia="zh-CN"/>
              </w:rPr>
            </w:pPr>
          </w:p>
        </w:tc>
      </w:tr>
      <w:tr w14:paraId="264C49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70" w:type="dxa"/>
            <w:noWrap w:val="0"/>
            <w:vAlign w:val="center"/>
          </w:tcPr>
          <w:p w14:paraId="792F100D">
            <w:pPr>
              <w:widowControl/>
              <w:jc w:val="center"/>
              <w:rPr>
                <w:rFonts w:hint="default" w:ascii="宋体" w:hAnsi="宋体" w:eastAsia="宋体" w:cs="宋体"/>
                <w:color w:val="000000"/>
                <w:kern w:val="0"/>
                <w:sz w:val="24"/>
                <w:szCs w:val="24"/>
                <w:vertAlign w:val="baseline"/>
                <w:lang w:val="en-US" w:eastAsia="zh-CN"/>
              </w:rPr>
            </w:pPr>
            <w:r>
              <w:rPr>
                <w:rFonts w:hint="eastAsia" w:ascii="宋体" w:hAnsi="宋体" w:eastAsia="宋体" w:cs="宋体"/>
                <w:color w:val="000000"/>
                <w:kern w:val="0"/>
                <w:sz w:val="24"/>
                <w:szCs w:val="24"/>
                <w:vertAlign w:val="baseline"/>
                <w:lang w:val="en-US" w:eastAsia="zh-CN"/>
              </w:rPr>
              <w:t>1</w:t>
            </w:r>
            <w:r>
              <w:rPr>
                <w:rFonts w:hint="eastAsia" w:ascii="宋体" w:hAnsi="宋体" w:cs="宋体"/>
                <w:color w:val="000000"/>
                <w:kern w:val="0"/>
                <w:sz w:val="24"/>
                <w:szCs w:val="24"/>
                <w:vertAlign w:val="baseline"/>
                <w:lang w:val="en-US" w:eastAsia="zh-CN"/>
              </w:rPr>
              <w:t>4</w:t>
            </w:r>
          </w:p>
        </w:tc>
        <w:tc>
          <w:tcPr>
            <w:tcW w:w="1428" w:type="dxa"/>
            <w:noWrap w:val="0"/>
            <w:vAlign w:val="center"/>
          </w:tcPr>
          <w:p w14:paraId="02FCE02E">
            <w:pPr>
              <w:keepNext w:val="0"/>
              <w:keepLines w:val="0"/>
              <w:widowControl/>
              <w:suppressLineNumbers w:val="0"/>
              <w:jc w:val="center"/>
              <w:textAlignment w:val="center"/>
              <w:rPr>
                <w:rFonts w:hint="eastAsia" w:ascii="宋体" w:hAnsi="宋体" w:eastAsia="宋体" w:cs="宋体"/>
                <w:color w:val="000000"/>
                <w:kern w:val="0"/>
                <w:sz w:val="24"/>
                <w:szCs w:val="24"/>
                <w:vertAlign w:val="baseline"/>
                <w:lang w:val="en-US" w:eastAsia="zh-CN"/>
              </w:rPr>
            </w:pPr>
            <w:r>
              <w:rPr>
                <w:rFonts w:hint="eastAsia" w:ascii="宋体" w:hAnsi="宋体" w:eastAsia="宋体" w:cs="宋体"/>
                <w:i w:val="0"/>
                <w:iCs w:val="0"/>
                <w:color w:val="000000"/>
                <w:kern w:val="0"/>
                <w:sz w:val="22"/>
                <w:szCs w:val="22"/>
                <w:u w:val="none"/>
                <w:lang w:val="en-US" w:eastAsia="zh-CN" w:bidi="ar"/>
              </w:rPr>
              <w:t>莲花路社康中心1#梯</w:t>
            </w:r>
          </w:p>
        </w:tc>
        <w:tc>
          <w:tcPr>
            <w:tcW w:w="1452" w:type="dxa"/>
            <w:noWrap w:val="0"/>
            <w:vAlign w:val="center"/>
          </w:tcPr>
          <w:p w14:paraId="17187783">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31704404002009100039</w:t>
            </w:r>
          </w:p>
        </w:tc>
        <w:tc>
          <w:tcPr>
            <w:tcW w:w="1452" w:type="dxa"/>
            <w:noWrap w:val="0"/>
            <w:vAlign w:val="center"/>
          </w:tcPr>
          <w:p w14:paraId="1CBEA175">
            <w:pPr>
              <w:keepNext w:val="0"/>
              <w:keepLines w:val="0"/>
              <w:widowControl/>
              <w:suppressLineNumbers w:val="0"/>
              <w:jc w:val="center"/>
              <w:textAlignment w:val="center"/>
              <w:rPr>
                <w:rFonts w:hint="eastAsia" w:ascii="宋体" w:hAnsi="宋体" w:eastAsia="宋体" w:cs="宋体"/>
                <w:color w:val="000000"/>
                <w:kern w:val="0"/>
                <w:sz w:val="24"/>
                <w:szCs w:val="24"/>
                <w:vertAlign w:val="baseline"/>
                <w:lang w:val="en-US" w:eastAsia="zh-CN"/>
              </w:rPr>
            </w:pPr>
            <w:r>
              <w:rPr>
                <w:rFonts w:hint="eastAsia" w:ascii="宋体" w:hAnsi="宋体" w:eastAsia="宋体" w:cs="宋体"/>
                <w:i w:val="0"/>
                <w:iCs w:val="0"/>
                <w:color w:val="000000"/>
                <w:kern w:val="0"/>
                <w:sz w:val="22"/>
                <w:szCs w:val="22"/>
                <w:u w:val="none"/>
                <w:lang w:val="en-US" w:eastAsia="zh-CN" w:bidi="ar"/>
              </w:rPr>
              <w:t>四川快速</w:t>
            </w:r>
          </w:p>
        </w:tc>
        <w:tc>
          <w:tcPr>
            <w:tcW w:w="948" w:type="dxa"/>
            <w:noWrap w:val="0"/>
            <w:vAlign w:val="center"/>
          </w:tcPr>
          <w:p w14:paraId="7074E207">
            <w:pPr>
              <w:keepNext w:val="0"/>
              <w:keepLines w:val="0"/>
              <w:widowControl/>
              <w:suppressLineNumbers w:val="0"/>
              <w:jc w:val="center"/>
              <w:textAlignment w:val="center"/>
              <w:rPr>
                <w:rFonts w:hint="eastAsia" w:ascii="宋体" w:hAnsi="宋体" w:eastAsia="宋体" w:cs="宋体"/>
                <w:color w:val="000000"/>
                <w:kern w:val="0"/>
                <w:sz w:val="24"/>
                <w:szCs w:val="24"/>
                <w:vertAlign w:val="baseline"/>
                <w:lang w:val="en-US" w:eastAsia="zh-CN"/>
              </w:rPr>
            </w:pPr>
            <w:r>
              <w:rPr>
                <w:rFonts w:hint="eastAsia" w:ascii="宋体" w:hAnsi="宋体" w:eastAsia="宋体" w:cs="宋体"/>
                <w:i w:val="0"/>
                <w:iCs w:val="0"/>
                <w:color w:val="000000"/>
                <w:kern w:val="0"/>
                <w:sz w:val="22"/>
                <w:szCs w:val="22"/>
                <w:u w:val="none"/>
                <w:lang w:val="en-US" w:eastAsia="zh-CN" w:bidi="ar"/>
              </w:rPr>
              <w:t>1600</w:t>
            </w:r>
          </w:p>
        </w:tc>
        <w:tc>
          <w:tcPr>
            <w:tcW w:w="972" w:type="dxa"/>
            <w:noWrap w:val="0"/>
            <w:vAlign w:val="center"/>
          </w:tcPr>
          <w:p w14:paraId="3B8ED134">
            <w:pPr>
              <w:keepNext w:val="0"/>
              <w:keepLines w:val="0"/>
              <w:widowControl/>
              <w:suppressLineNumbers w:val="0"/>
              <w:jc w:val="center"/>
              <w:textAlignment w:val="center"/>
              <w:rPr>
                <w:rFonts w:hint="eastAsia" w:ascii="宋体" w:hAnsi="宋体" w:eastAsia="宋体" w:cs="宋体"/>
                <w:color w:val="000000"/>
                <w:kern w:val="0"/>
                <w:sz w:val="24"/>
                <w:szCs w:val="24"/>
                <w:vertAlign w:val="baseline"/>
                <w:lang w:val="en-US" w:eastAsia="zh-CN"/>
              </w:rPr>
            </w:pPr>
            <w:r>
              <w:rPr>
                <w:rFonts w:hint="eastAsia" w:ascii="宋体" w:hAnsi="宋体" w:eastAsia="宋体" w:cs="宋体"/>
                <w:i w:val="0"/>
                <w:iCs w:val="0"/>
                <w:color w:val="000000"/>
                <w:kern w:val="0"/>
                <w:sz w:val="22"/>
                <w:szCs w:val="22"/>
                <w:u w:val="none"/>
                <w:lang w:val="en-US" w:eastAsia="zh-CN" w:bidi="ar"/>
              </w:rPr>
              <w:t>1.0</w:t>
            </w:r>
          </w:p>
        </w:tc>
        <w:tc>
          <w:tcPr>
            <w:tcW w:w="1428" w:type="dxa"/>
            <w:noWrap w:val="0"/>
            <w:vAlign w:val="center"/>
          </w:tcPr>
          <w:p w14:paraId="26ABA437">
            <w:pPr>
              <w:widowControl/>
              <w:jc w:val="center"/>
              <w:rPr>
                <w:rFonts w:hint="eastAsia" w:ascii="宋体" w:hAnsi="宋体" w:eastAsia="宋体" w:cs="宋体"/>
                <w:color w:val="000000"/>
                <w:kern w:val="0"/>
                <w:sz w:val="24"/>
                <w:szCs w:val="24"/>
                <w:vertAlign w:val="baseline"/>
                <w:lang w:val="en-US" w:eastAsia="zh-CN"/>
              </w:rPr>
            </w:pPr>
          </w:p>
        </w:tc>
      </w:tr>
      <w:tr w14:paraId="63B64B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70" w:type="dxa"/>
            <w:noWrap w:val="0"/>
            <w:vAlign w:val="center"/>
          </w:tcPr>
          <w:p w14:paraId="7B6C26F7">
            <w:pPr>
              <w:widowControl/>
              <w:jc w:val="center"/>
              <w:rPr>
                <w:rFonts w:hint="default" w:ascii="宋体" w:hAnsi="宋体" w:eastAsia="宋体" w:cs="宋体"/>
                <w:color w:val="000000"/>
                <w:kern w:val="0"/>
                <w:sz w:val="24"/>
                <w:szCs w:val="24"/>
                <w:vertAlign w:val="baseline"/>
                <w:lang w:val="en-US" w:eastAsia="zh-CN"/>
              </w:rPr>
            </w:pPr>
            <w:r>
              <w:rPr>
                <w:rFonts w:hint="eastAsia" w:ascii="宋体" w:hAnsi="宋体" w:eastAsia="宋体" w:cs="宋体"/>
                <w:color w:val="000000"/>
                <w:kern w:val="0"/>
                <w:sz w:val="24"/>
                <w:szCs w:val="24"/>
                <w:vertAlign w:val="baseline"/>
                <w:lang w:val="en-US" w:eastAsia="zh-CN"/>
              </w:rPr>
              <w:t>1</w:t>
            </w:r>
            <w:r>
              <w:rPr>
                <w:rFonts w:hint="eastAsia" w:ascii="宋体" w:hAnsi="宋体" w:cs="宋体"/>
                <w:color w:val="000000"/>
                <w:kern w:val="0"/>
                <w:sz w:val="24"/>
                <w:szCs w:val="24"/>
                <w:vertAlign w:val="baseline"/>
                <w:lang w:val="en-US" w:eastAsia="zh-CN"/>
              </w:rPr>
              <w:t>5</w:t>
            </w:r>
          </w:p>
        </w:tc>
        <w:tc>
          <w:tcPr>
            <w:tcW w:w="1428" w:type="dxa"/>
            <w:noWrap w:val="0"/>
            <w:vAlign w:val="center"/>
          </w:tcPr>
          <w:p w14:paraId="12FCF3D6">
            <w:pPr>
              <w:keepNext w:val="0"/>
              <w:keepLines w:val="0"/>
              <w:widowControl/>
              <w:suppressLineNumbers w:val="0"/>
              <w:jc w:val="center"/>
              <w:textAlignment w:val="center"/>
              <w:rPr>
                <w:rFonts w:hint="eastAsia" w:ascii="宋体" w:hAnsi="宋体" w:eastAsia="宋体" w:cs="宋体"/>
                <w:color w:val="000000"/>
                <w:kern w:val="0"/>
                <w:sz w:val="24"/>
                <w:szCs w:val="24"/>
                <w:vertAlign w:val="baseline"/>
                <w:lang w:val="en-US" w:eastAsia="zh-CN"/>
              </w:rPr>
            </w:pPr>
            <w:r>
              <w:rPr>
                <w:rFonts w:hint="eastAsia" w:ascii="宋体" w:hAnsi="宋体" w:eastAsia="宋体" w:cs="宋体"/>
                <w:i w:val="0"/>
                <w:iCs w:val="0"/>
                <w:color w:val="000000"/>
                <w:kern w:val="0"/>
                <w:sz w:val="22"/>
                <w:szCs w:val="22"/>
                <w:u w:val="none"/>
                <w:lang w:val="en-US" w:eastAsia="zh-CN" w:bidi="ar"/>
              </w:rPr>
              <w:t>发热门诊楼1#梯</w:t>
            </w:r>
          </w:p>
        </w:tc>
        <w:tc>
          <w:tcPr>
            <w:tcW w:w="1452" w:type="dxa"/>
            <w:noWrap w:val="0"/>
            <w:vAlign w:val="center"/>
          </w:tcPr>
          <w:p w14:paraId="4A4F4490">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31704404002009100039</w:t>
            </w:r>
          </w:p>
        </w:tc>
        <w:tc>
          <w:tcPr>
            <w:tcW w:w="1452" w:type="dxa"/>
            <w:noWrap w:val="0"/>
            <w:vAlign w:val="center"/>
          </w:tcPr>
          <w:p w14:paraId="3C0DCFE9">
            <w:pPr>
              <w:keepNext w:val="0"/>
              <w:keepLines w:val="0"/>
              <w:widowControl/>
              <w:suppressLineNumbers w:val="0"/>
              <w:jc w:val="center"/>
              <w:textAlignment w:val="center"/>
              <w:rPr>
                <w:rFonts w:hint="eastAsia" w:ascii="宋体" w:hAnsi="宋体" w:eastAsia="宋体" w:cs="宋体"/>
                <w:color w:val="000000"/>
                <w:kern w:val="0"/>
                <w:sz w:val="24"/>
                <w:szCs w:val="24"/>
                <w:vertAlign w:val="baseline"/>
                <w:lang w:val="en-US" w:eastAsia="zh-CN"/>
              </w:rPr>
            </w:pPr>
            <w:r>
              <w:rPr>
                <w:rFonts w:hint="eastAsia" w:ascii="宋体" w:hAnsi="宋体" w:eastAsia="宋体" w:cs="宋体"/>
                <w:i w:val="0"/>
                <w:iCs w:val="0"/>
                <w:color w:val="000000"/>
                <w:kern w:val="0"/>
                <w:sz w:val="22"/>
                <w:szCs w:val="22"/>
                <w:u w:val="none"/>
                <w:lang w:val="en-US" w:eastAsia="zh-CN" w:bidi="ar"/>
              </w:rPr>
              <w:t>北京天赐亨通</w:t>
            </w:r>
          </w:p>
        </w:tc>
        <w:tc>
          <w:tcPr>
            <w:tcW w:w="948" w:type="dxa"/>
            <w:noWrap w:val="0"/>
            <w:vAlign w:val="center"/>
          </w:tcPr>
          <w:p w14:paraId="52F89DA6">
            <w:pPr>
              <w:keepNext w:val="0"/>
              <w:keepLines w:val="0"/>
              <w:widowControl/>
              <w:suppressLineNumbers w:val="0"/>
              <w:jc w:val="center"/>
              <w:textAlignment w:val="center"/>
              <w:rPr>
                <w:rFonts w:hint="eastAsia" w:ascii="宋体" w:hAnsi="宋体" w:eastAsia="宋体" w:cs="宋体"/>
                <w:color w:val="000000"/>
                <w:kern w:val="0"/>
                <w:sz w:val="24"/>
                <w:szCs w:val="24"/>
                <w:vertAlign w:val="baseline"/>
                <w:lang w:val="en-US" w:eastAsia="zh-CN"/>
              </w:rPr>
            </w:pPr>
            <w:r>
              <w:rPr>
                <w:rFonts w:hint="eastAsia" w:ascii="宋体" w:hAnsi="宋体" w:eastAsia="宋体" w:cs="宋体"/>
                <w:i w:val="0"/>
                <w:iCs w:val="0"/>
                <w:color w:val="000000"/>
                <w:kern w:val="0"/>
                <w:sz w:val="22"/>
                <w:szCs w:val="22"/>
                <w:u w:val="none"/>
                <w:lang w:val="en-US" w:eastAsia="zh-CN" w:bidi="ar"/>
              </w:rPr>
              <w:t>100</w:t>
            </w:r>
          </w:p>
        </w:tc>
        <w:tc>
          <w:tcPr>
            <w:tcW w:w="972" w:type="dxa"/>
            <w:noWrap w:val="0"/>
            <w:vAlign w:val="center"/>
          </w:tcPr>
          <w:p w14:paraId="12BA3D82">
            <w:pPr>
              <w:keepNext w:val="0"/>
              <w:keepLines w:val="0"/>
              <w:widowControl/>
              <w:suppressLineNumbers w:val="0"/>
              <w:jc w:val="center"/>
              <w:textAlignment w:val="center"/>
              <w:rPr>
                <w:rFonts w:hint="eastAsia" w:ascii="宋体" w:hAnsi="宋体" w:eastAsia="宋体" w:cs="宋体"/>
                <w:color w:val="000000"/>
                <w:kern w:val="0"/>
                <w:sz w:val="24"/>
                <w:szCs w:val="24"/>
                <w:vertAlign w:val="baseline"/>
                <w:lang w:val="en-US" w:eastAsia="zh-CN"/>
              </w:rPr>
            </w:pPr>
            <w:r>
              <w:rPr>
                <w:rFonts w:hint="eastAsia" w:ascii="宋体" w:hAnsi="宋体" w:eastAsia="宋体" w:cs="宋体"/>
                <w:i w:val="0"/>
                <w:iCs w:val="0"/>
                <w:color w:val="000000"/>
                <w:kern w:val="0"/>
                <w:sz w:val="22"/>
                <w:szCs w:val="22"/>
                <w:u w:val="none"/>
                <w:lang w:val="en-US" w:eastAsia="zh-CN" w:bidi="ar"/>
              </w:rPr>
              <w:t>0.4</w:t>
            </w:r>
          </w:p>
        </w:tc>
        <w:tc>
          <w:tcPr>
            <w:tcW w:w="1428" w:type="dxa"/>
            <w:noWrap w:val="0"/>
            <w:vAlign w:val="center"/>
          </w:tcPr>
          <w:p w14:paraId="6794EE85">
            <w:pPr>
              <w:widowControl/>
              <w:jc w:val="center"/>
              <w:rPr>
                <w:rFonts w:hint="eastAsia" w:ascii="宋体" w:hAnsi="宋体" w:eastAsia="宋体" w:cs="宋体"/>
                <w:color w:val="000000"/>
                <w:kern w:val="0"/>
                <w:sz w:val="24"/>
                <w:szCs w:val="24"/>
                <w:vertAlign w:val="baseline"/>
                <w:lang w:val="en-US" w:eastAsia="zh-CN"/>
              </w:rPr>
            </w:pPr>
            <w:r>
              <w:rPr>
                <w:rFonts w:hint="eastAsia" w:ascii="宋体" w:hAnsi="宋体" w:eastAsia="宋体" w:cs="宋体"/>
                <w:i w:val="0"/>
                <w:iCs w:val="0"/>
                <w:color w:val="000000"/>
                <w:kern w:val="0"/>
                <w:sz w:val="22"/>
                <w:szCs w:val="22"/>
                <w:u w:val="none"/>
                <w:lang w:val="en-US" w:eastAsia="zh-CN" w:bidi="ar"/>
              </w:rPr>
              <w:t>小货梯</w:t>
            </w:r>
          </w:p>
        </w:tc>
      </w:tr>
    </w:tbl>
    <w:p w14:paraId="08C8FDE0">
      <w:pPr>
        <w:widowControl/>
        <w:numPr>
          <w:ilvl w:val="0"/>
          <w:numId w:val="0"/>
        </w:numPr>
        <w:adjustRightInd w:val="0"/>
        <w:snapToGrid w:val="0"/>
        <w:spacing w:line="360" w:lineRule="auto"/>
        <w:ind w:firstLine="482" w:firstLineChars="200"/>
        <w:jc w:val="left"/>
        <w:rPr>
          <w:rFonts w:hint="eastAsia" w:ascii="宋体" w:hAnsi="宋体" w:cs="宋体"/>
          <w:b/>
          <w:bCs w:val="0"/>
          <w:sz w:val="24"/>
          <w:lang w:eastAsia="zh-CN"/>
        </w:rPr>
      </w:pPr>
    </w:p>
    <w:p w14:paraId="4C4F70A0">
      <w:pPr>
        <w:widowControl/>
        <w:numPr>
          <w:ilvl w:val="0"/>
          <w:numId w:val="0"/>
        </w:numPr>
        <w:adjustRightInd w:val="0"/>
        <w:snapToGrid w:val="0"/>
        <w:spacing w:line="360" w:lineRule="auto"/>
        <w:ind w:firstLine="482" w:firstLineChars="200"/>
        <w:jc w:val="left"/>
        <w:rPr>
          <w:rFonts w:hint="eastAsia" w:ascii="宋体" w:hAnsi="宋体" w:cs="宋体"/>
          <w:b/>
          <w:bCs w:val="0"/>
          <w:sz w:val="24"/>
          <w:lang w:eastAsia="zh-CN"/>
        </w:rPr>
      </w:pPr>
      <w:r>
        <w:rPr>
          <w:rFonts w:hint="eastAsia" w:ascii="宋体" w:hAnsi="宋体" w:cs="宋体"/>
          <w:b/>
          <w:bCs w:val="0"/>
          <w:sz w:val="24"/>
          <w:lang w:eastAsia="zh-CN"/>
        </w:rPr>
        <w:t>三、维保服务内容</w:t>
      </w:r>
    </w:p>
    <w:p w14:paraId="3B0881F9">
      <w:pPr>
        <w:widowControl/>
        <w:numPr>
          <w:ilvl w:val="0"/>
          <w:numId w:val="0"/>
        </w:numPr>
        <w:adjustRightInd w:val="0"/>
        <w:snapToGrid w:val="0"/>
        <w:spacing w:line="360" w:lineRule="auto"/>
        <w:ind w:firstLine="480" w:firstLineChars="200"/>
        <w:jc w:val="left"/>
        <w:rPr>
          <w:rFonts w:hint="eastAsia" w:ascii="宋体" w:hAnsi="宋体" w:eastAsia="宋体" w:cs="宋体"/>
          <w:bCs/>
          <w:sz w:val="24"/>
          <w:lang w:eastAsia="zh-CN"/>
        </w:rPr>
      </w:pPr>
      <w:r>
        <w:rPr>
          <w:rFonts w:hint="eastAsia" w:ascii="宋体" w:hAnsi="宋体" w:eastAsia="宋体" w:cs="宋体"/>
          <w:bCs/>
          <w:sz w:val="24"/>
          <w:lang w:eastAsia="zh-CN"/>
        </w:rPr>
        <w:t>1、</w:t>
      </w:r>
      <w:r>
        <w:rPr>
          <w:rFonts w:hint="eastAsia" w:ascii="宋体" w:hAnsi="宋体" w:cs="宋体"/>
          <w:bCs/>
          <w:sz w:val="24"/>
          <w:lang w:val="en-US" w:eastAsia="zh-CN"/>
        </w:rPr>
        <w:t>中标人</w:t>
      </w:r>
      <w:r>
        <w:rPr>
          <w:rFonts w:hint="eastAsia" w:ascii="宋体" w:hAnsi="宋体" w:eastAsia="宋体" w:cs="宋体"/>
          <w:bCs/>
          <w:sz w:val="24"/>
          <w:lang w:eastAsia="zh-CN"/>
        </w:rPr>
        <w:t>按照国家及行业标准规定内容和程序对</w:t>
      </w:r>
      <w:r>
        <w:rPr>
          <w:rFonts w:hint="eastAsia" w:ascii="宋体" w:hAnsi="宋体" w:cs="宋体"/>
          <w:bCs/>
          <w:sz w:val="24"/>
          <w:lang w:eastAsia="zh-CN"/>
        </w:rPr>
        <w:t>采购人</w:t>
      </w:r>
      <w:r>
        <w:rPr>
          <w:rFonts w:hint="eastAsia" w:ascii="宋体" w:hAnsi="宋体" w:eastAsia="宋体" w:cs="宋体"/>
          <w:bCs/>
          <w:sz w:val="24"/>
          <w:lang w:eastAsia="zh-CN"/>
        </w:rPr>
        <w:t>14台电梯进行半月、月、季度、半年、年维保，并按月出具维保报告。</w:t>
      </w:r>
    </w:p>
    <w:p w14:paraId="77246830">
      <w:pPr>
        <w:widowControl/>
        <w:numPr>
          <w:ilvl w:val="0"/>
          <w:numId w:val="0"/>
        </w:numPr>
        <w:adjustRightInd w:val="0"/>
        <w:snapToGrid w:val="0"/>
        <w:spacing w:line="360" w:lineRule="auto"/>
        <w:ind w:firstLine="480" w:firstLineChars="200"/>
        <w:jc w:val="left"/>
        <w:rPr>
          <w:rFonts w:hint="eastAsia" w:ascii="宋体" w:hAnsi="宋体" w:eastAsia="宋体" w:cs="宋体"/>
          <w:bCs/>
          <w:sz w:val="24"/>
          <w:lang w:eastAsia="zh-CN"/>
        </w:rPr>
      </w:pPr>
      <w:r>
        <w:rPr>
          <w:rFonts w:hint="eastAsia" w:ascii="宋体" w:hAnsi="宋体" w:eastAsia="宋体" w:cs="宋体"/>
          <w:bCs/>
          <w:sz w:val="24"/>
          <w:lang w:eastAsia="zh-CN"/>
        </w:rPr>
        <w:t>2、</w:t>
      </w:r>
      <w:r>
        <w:rPr>
          <w:rFonts w:hint="eastAsia" w:ascii="宋体" w:hAnsi="宋体" w:cs="宋体"/>
          <w:bCs/>
          <w:sz w:val="24"/>
          <w:lang w:val="en-US" w:eastAsia="zh-CN"/>
        </w:rPr>
        <w:t>中标人</w:t>
      </w:r>
      <w:r>
        <w:rPr>
          <w:rFonts w:hint="eastAsia" w:ascii="宋体" w:hAnsi="宋体" w:eastAsia="宋体" w:cs="宋体"/>
          <w:bCs/>
          <w:sz w:val="24"/>
          <w:lang w:eastAsia="zh-CN"/>
        </w:rPr>
        <w:t>负责电梯的日常维修维护，采用清包形式，即提供劳务。</w:t>
      </w:r>
    </w:p>
    <w:p w14:paraId="6684A3B0">
      <w:pPr>
        <w:widowControl/>
        <w:numPr>
          <w:ilvl w:val="0"/>
          <w:numId w:val="0"/>
        </w:numPr>
        <w:adjustRightInd w:val="0"/>
        <w:snapToGrid w:val="0"/>
        <w:spacing w:line="360" w:lineRule="auto"/>
        <w:ind w:firstLine="480" w:firstLineChars="200"/>
        <w:jc w:val="left"/>
        <w:rPr>
          <w:rFonts w:hint="eastAsia" w:ascii="宋体" w:hAnsi="宋体" w:eastAsia="宋体" w:cs="宋体"/>
          <w:bCs/>
          <w:sz w:val="24"/>
          <w:lang w:eastAsia="zh-CN"/>
        </w:rPr>
      </w:pPr>
      <w:r>
        <w:rPr>
          <w:rFonts w:hint="eastAsia" w:ascii="宋体" w:hAnsi="宋体" w:eastAsia="宋体" w:cs="宋体"/>
          <w:bCs/>
          <w:sz w:val="24"/>
          <w:lang w:eastAsia="zh-CN"/>
        </w:rPr>
        <w:t>3、</w:t>
      </w:r>
      <w:r>
        <w:rPr>
          <w:rFonts w:hint="eastAsia" w:ascii="宋体" w:hAnsi="宋体" w:cs="宋体"/>
          <w:bCs/>
          <w:sz w:val="24"/>
          <w:lang w:val="en-US" w:eastAsia="zh-CN"/>
        </w:rPr>
        <w:t>中标人</w:t>
      </w:r>
      <w:r>
        <w:rPr>
          <w:rFonts w:hint="eastAsia" w:ascii="宋体" w:hAnsi="宋体" w:eastAsia="宋体" w:cs="宋体"/>
          <w:bCs/>
          <w:sz w:val="24"/>
          <w:lang w:eastAsia="zh-CN"/>
        </w:rPr>
        <w:t>提供</w:t>
      </w:r>
      <w:r>
        <w:rPr>
          <w:rFonts w:hint="eastAsia" w:ascii="宋体" w:hAnsi="宋体" w:cs="宋体"/>
          <w:bCs/>
          <w:sz w:val="24"/>
          <w:lang w:val="en-US" w:eastAsia="zh-CN"/>
        </w:rPr>
        <w:t>≥1名</w:t>
      </w:r>
      <w:r>
        <w:rPr>
          <w:rFonts w:hint="eastAsia" w:ascii="宋体" w:hAnsi="宋体" w:eastAsia="宋体" w:cs="宋体"/>
          <w:bCs/>
          <w:sz w:val="24"/>
          <w:lang w:eastAsia="zh-CN"/>
        </w:rPr>
        <w:t>维保人员在本项目驻场，及时响应电梯应急抢修、控梯及困梯救援等突发状况，每日驻点医院时间为：7:30-12:30，14:00-18:30。</w:t>
      </w:r>
    </w:p>
    <w:p w14:paraId="139C2BE9">
      <w:pPr>
        <w:widowControl/>
        <w:numPr>
          <w:ilvl w:val="0"/>
          <w:numId w:val="0"/>
        </w:numPr>
        <w:adjustRightInd w:val="0"/>
        <w:snapToGrid w:val="0"/>
        <w:spacing w:line="360" w:lineRule="auto"/>
        <w:ind w:firstLine="480" w:firstLineChars="200"/>
        <w:jc w:val="left"/>
        <w:rPr>
          <w:rFonts w:hint="eastAsia" w:ascii="宋体" w:hAnsi="宋体" w:eastAsia="宋体" w:cs="宋体"/>
          <w:bCs/>
          <w:sz w:val="24"/>
          <w:lang w:eastAsia="zh-CN"/>
        </w:rPr>
      </w:pPr>
      <w:r>
        <w:rPr>
          <w:rFonts w:hint="eastAsia" w:ascii="宋体" w:hAnsi="宋体" w:eastAsia="宋体" w:cs="宋体"/>
          <w:bCs/>
          <w:sz w:val="24"/>
          <w:lang w:eastAsia="zh-CN"/>
        </w:rPr>
        <w:t>4、</w:t>
      </w:r>
      <w:r>
        <w:rPr>
          <w:rFonts w:hint="eastAsia" w:ascii="宋体" w:hAnsi="宋体" w:cs="宋体"/>
          <w:bCs/>
          <w:sz w:val="24"/>
          <w:lang w:val="en-US" w:eastAsia="zh-CN"/>
        </w:rPr>
        <w:t>中标人</w:t>
      </w:r>
      <w:r>
        <w:rPr>
          <w:rFonts w:hint="eastAsia" w:ascii="宋体" w:hAnsi="宋体" w:eastAsia="宋体" w:cs="宋体"/>
          <w:bCs/>
          <w:sz w:val="24"/>
          <w:lang w:eastAsia="zh-CN"/>
        </w:rPr>
        <w:t>为所维保的电梯购买电梯年度责任险</w:t>
      </w:r>
      <w:r>
        <w:rPr>
          <w:rFonts w:hint="eastAsia" w:ascii="宋体" w:hAnsi="宋体" w:cs="宋体"/>
          <w:bCs/>
          <w:sz w:val="24"/>
          <w:lang w:eastAsia="zh-CN"/>
        </w:rPr>
        <w:t>，</w:t>
      </w:r>
      <w:r>
        <w:rPr>
          <w:rFonts w:hint="eastAsia" w:ascii="宋体" w:hAnsi="宋体" w:cs="宋体"/>
          <w:bCs/>
          <w:sz w:val="24"/>
          <w:lang w:val="en-US" w:eastAsia="zh-CN"/>
        </w:rPr>
        <w:t>相关费用由中标人负责</w:t>
      </w:r>
      <w:r>
        <w:rPr>
          <w:rFonts w:hint="eastAsia" w:ascii="宋体" w:hAnsi="宋体" w:eastAsia="宋体" w:cs="宋体"/>
          <w:bCs/>
          <w:sz w:val="24"/>
          <w:lang w:eastAsia="zh-CN"/>
        </w:rPr>
        <w:t>。</w:t>
      </w:r>
    </w:p>
    <w:p w14:paraId="2BCFEBCE">
      <w:pPr>
        <w:widowControl/>
        <w:numPr>
          <w:ilvl w:val="0"/>
          <w:numId w:val="0"/>
        </w:numPr>
        <w:adjustRightInd w:val="0"/>
        <w:snapToGrid w:val="0"/>
        <w:spacing w:line="360" w:lineRule="auto"/>
        <w:ind w:firstLine="480" w:firstLineChars="200"/>
        <w:jc w:val="left"/>
        <w:rPr>
          <w:rFonts w:hint="eastAsia" w:ascii="宋体" w:hAnsi="宋体" w:eastAsia="宋体" w:cs="宋体"/>
          <w:bCs/>
          <w:sz w:val="24"/>
          <w:lang w:eastAsia="zh-CN"/>
        </w:rPr>
      </w:pPr>
      <w:r>
        <w:rPr>
          <w:rFonts w:hint="eastAsia" w:ascii="宋体" w:hAnsi="宋体" w:eastAsia="宋体" w:cs="宋体"/>
          <w:bCs/>
          <w:sz w:val="24"/>
          <w:lang w:eastAsia="zh-CN"/>
        </w:rPr>
        <w:t>5、</w:t>
      </w:r>
      <w:r>
        <w:rPr>
          <w:rFonts w:hint="eastAsia" w:ascii="宋体" w:hAnsi="宋体" w:cs="宋体"/>
          <w:bCs/>
          <w:sz w:val="24"/>
          <w:lang w:val="en-US" w:eastAsia="zh-CN"/>
        </w:rPr>
        <w:t>中标人</w:t>
      </w:r>
      <w:r>
        <w:rPr>
          <w:rFonts w:hint="eastAsia" w:ascii="宋体" w:hAnsi="宋体" w:eastAsia="宋体" w:cs="宋体"/>
          <w:bCs/>
          <w:sz w:val="24"/>
          <w:lang w:eastAsia="zh-CN"/>
        </w:rPr>
        <w:t>负责对所维保的电梯申报年检</w:t>
      </w:r>
      <w:r>
        <w:rPr>
          <w:rFonts w:hint="eastAsia" w:ascii="宋体" w:hAnsi="宋体" w:cs="宋体"/>
          <w:bCs/>
          <w:sz w:val="24"/>
          <w:lang w:val="en-US" w:eastAsia="zh-CN"/>
        </w:rPr>
        <w:t>并支付年检及相关费用，负责免费进行电梯平衡系数试验、载荷试验、限速器校验等年检前必要项目</w:t>
      </w:r>
      <w:r>
        <w:rPr>
          <w:rFonts w:hint="eastAsia" w:ascii="宋体" w:hAnsi="宋体" w:eastAsia="宋体" w:cs="宋体"/>
          <w:bCs/>
          <w:sz w:val="24"/>
          <w:lang w:eastAsia="zh-CN"/>
        </w:rPr>
        <w:t>。</w:t>
      </w:r>
    </w:p>
    <w:p w14:paraId="1B0E7B7D">
      <w:pPr>
        <w:widowControl/>
        <w:numPr>
          <w:ilvl w:val="0"/>
          <w:numId w:val="0"/>
        </w:numPr>
        <w:adjustRightInd w:val="0"/>
        <w:snapToGrid w:val="0"/>
        <w:spacing w:line="360" w:lineRule="auto"/>
        <w:ind w:firstLine="480" w:firstLineChars="200"/>
        <w:jc w:val="left"/>
        <w:rPr>
          <w:rFonts w:hint="eastAsia" w:ascii="宋体" w:hAnsi="宋体" w:eastAsia="宋体" w:cs="宋体"/>
          <w:bCs/>
          <w:sz w:val="24"/>
          <w:lang w:eastAsia="zh-CN"/>
        </w:rPr>
      </w:pPr>
      <w:r>
        <w:rPr>
          <w:rFonts w:hint="eastAsia" w:ascii="宋体" w:hAnsi="宋体" w:eastAsia="宋体" w:cs="宋体"/>
          <w:bCs/>
          <w:sz w:val="24"/>
          <w:lang w:eastAsia="zh-CN"/>
        </w:rPr>
        <w:t>6、</w:t>
      </w:r>
      <w:r>
        <w:rPr>
          <w:rFonts w:hint="eastAsia" w:ascii="宋体" w:hAnsi="宋体" w:cs="宋体"/>
          <w:bCs/>
          <w:sz w:val="24"/>
          <w:lang w:val="en-US" w:eastAsia="zh-CN"/>
        </w:rPr>
        <w:t>中标人</w:t>
      </w:r>
      <w:r>
        <w:rPr>
          <w:rFonts w:hint="eastAsia" w:ascii="宋体" w:hAnsi="宋体" w:eastAsia="宋体" w:cs="宋体"/>
          <w:bCs/>
          <w:sz w:val="24"/>
          <w:lang w:eastAsia="zh-CN"/>
        </w:rPr>
        <w:t>负责电梯机房、电梯设备的日常巡查工作。</w:t>
      </w:r>
    </w:p>
    <w:p w14:paraId="4AC4425F">
      <w:pPr>
        <w:widowControl/>
        <w:numPr>
          <w:ilvl w:val="0"/>
          <w:numId w:val="0"/>
        </w:numPr>
        <w:adjustRightInd w:val="0"/>
        <w:snapToGrid w:val="0"/>
        <w:spacing w:line="360" w:lineRule="auto"/>
        <w:ind w:firstLine="480" w:firstLineChars="200"/>
        <w:jc w:val="left"/>
        <w:rPr>
          <w:rFonts w:hint="eastAsia" w:ascii="宋体" w:hAnsi="宋体" w:eastAsia="宋体" w:cs="宋体"/>
          <w:bCs/>
          <w:sz w:val="24"/>
          <w:lang w:eastAsia="zh-CN"/>
        </w:rPr>
      </w:pPr>
      <w:r>
        <w:rPr>
          <w:rFonts w:hint="eastAsia" w:ascii="宋体" w:hAnsi="宋体" w:eastAsia="宋体" w:cs="宋体"/>
          <w:bCs/>
          <w:sz w:val="24"/>
          <w:lang w:eastAsia="zh-CN"/>
        </w:rPr>
        <w:t>7、</w:t>
      </w:r>
      <w:r>
        <w:rPr>
          <w:rFonts w:hint="eastAsia" w:ascii="宋体" w:hAnsi="宋体" w:cs="宋体"/>
          <w:bCs/>
          <w:sz w:val="24"/>
          <w:lang w:val="en-US" w:eastAsia="zh-CN"/>
        </w:rPr>
        <w:t>中标人</w:t>
      </w:r>
      <w:r>
        <w:rPr>
          <w:rFonts w:hint="eastAsia" w:ascii="宋体" w:hAnsi="宋体" w:eastAsia="宋体" w:cs="宋体"/>
          <w:bCs/>
          <w:sz w:val="24"/>
          <w:lang w:eastAsia="zh-CN"/>
        </w:rPr>
        <w:t>负责</w:t>
      </w:r>
      <w:r>
        <w:rPr>
          <w:rFonts w:hint="eastAsia" w:ascii="宋体" w:hAnsi="宋体" w:cs="宋体"/>
          <w:bCs/>
          <w:sz w:val="24"/>
          <w:lang w:eastAsia="zh-CN"/>
        </w:rPr>
        <w:t>采购人</w:t>
      </w:r>
      <w:r>
        <w:rPr>
          <w:rFonts w:hint="eastAsia" w:ascii="宋体" w:hAnsi="宋体" w:eastAsia="宋体" w:cs="宋体"/>
          <w:bCs/>
          <w:sz w:val="24"/>
          <w:lang w:eastAsia="zh-CN"/>
        </w:rPr>
        <w:t>电梯机房、电梯设备的管理及清洁卫生工作等。</w:t>
      </w:r>
    </w:p>
    <w:p w14:paraId="2E8C771C">
      <w:pPr>
        <w:widowControl/>
        <w:numPr>
          <w:ilvl w:val="0"/>
          <w:numId w:val="0"/>
        </w:numPr>
        <w:adjustRightInd w:val="0"/>
        <w:snapToGrid w:val="0"/>
        <w:spacing w:line="360" w:lineRule="auto"/>
        <w:ind w:firstLine="480" w:firstLineChars="200"/>
        <w:jc w:val="left"/>
        <w:rPr>
          <w:rFonts w:hint="eastAsia" w:ascii="宋体" w:hAnsi="宋体" w:eastAsia="宋体" w:cs="宋体"/>
          <w:bCs/>
          <w:sz w:val="24"/>
          <w:lang w:eastAsia="zh-CN"/>
        </w:rPr>
      </w:pPr>
      <w:r>
        <w:rPr>
          <w:rFonts w:hint="eastAsia" w:ascii="宋体" w:hAnsi="宋体" w:eastAsia="宋体" w:cs="宋体"/>
          <w:bCs/>
          <w:sz w:val="24"/>
          <w:lang w:eastAsia="zh-CN"/>
        </w:rPr>
        <w:t>8、</w:t>
      </w:r>
      <w:r>
        <w:rPr>
          <w:rFonts w:hint="eastAsia" w:ascii="宋体" w:hAnsi="宋体" w:cs="宋体"/>
          <w:bCs/>
          <w:sz w:val="24"/>
          <w:lang w:val="en-US" w:eastAsia="zh-CN"/>
        </w:rPr>
        <w:t>中标人</w:t>
      </w:r>
      <w:r>
        <w:rPr>
          <w:rFonts w:hint="eastAsia" w:ascii="宋体" w:hAnsi="宋体" w:eastAsia="宋体" w:cs="宋体"/>
          <w:bCs/>
          <w:sz w:val="24"/>
          <w:lang w:eastAsia="zh-CN"/>
        </w:rPr>
        <w:t>配合</w:t>
      </w:r>
      <w:r>
        <w:rPr>
          <w:rFonts w:hint="eastAsia" w:ascii="宋体" w:hAnsi="宋体" w:cs="宋体"/>
          <w:bCs/>
          <w:sz w:val="24"/>
          <w:lang w:eastAsia="zh-CN"/>
        </w:rPr>
        <w:t>采购人</w:t>
      </w:r>
      <w:r>
        <w:rPr>
          <w:rFonts w:hint="eastAsia" w:ascii="宋体" w:hAnsi="宋体" w:eastAsia="宋体" w:cs="宋体"/>
          <w:bCs/>
          <w:sz w:val="24"/>
          <w:lang w:eastAsia="zh-CN"/>
        </w:rPr>
        <w:t>进行电梯相关检查、应急处置等工作。</w:t>
      </w:r>
    </w:p>
    <w:p w14:paraId="3F268E03">
      <w:pPr>
        <w:widowControl/>
        <w:numPr>
          <w:ilvl w:val="0"/>
          <w:numId w:val="0"/>
        </w:numPr>
        <w:adjustRightInd w:val="0"/>
        <w:snapToGrid w:val="0"/>
        <w:spacing w:line="360" w:lineRule="auto"/>
        <w:ind w:firstLine="480" w:firstLineChars="200"/>
        <w:jc w:val="left"/>
        <w:rPr>
          <w:rFonts w:hint="eastAsia" w:ascii="宋体" w:hAnsi="宋体" w:eastAsia="宋体" w:cs="宋体"/>
          <w:bCs/>
          <w:sz w:val="24"/>
          <w:lang w:eastAsia="zh-CN"/>
        </w:rPr>
      </w:pPr>
      <w:r>
        <w:rPr>
          <w:rFonts w:hint="eastAsia" w:ascii="宋体" w:hAnsi="宋体" w:eastAsia="宋体" w:cs="宋体"/>
          <w:bCs/>
          <w:sz w:val="24"/>
          <w:lang w:eastAsia="zh-CN"/>
        </w:rPr>
        <w:t>9、</w:t>
      </w:r>
      <w:r>
        <w:rPr>
          <w:rFonts w:hint="eastAsia" w:ascii="宋体" w:hAnsi="宋体" w:cs="宋体"/>
          <w:bCs/>
          <w:sz w:val="24"/>
          <w:lang w:val="en-US" w:eastAsia="zh-CN"/>
        </w:rPr>
        <w:t>中标人</w:t>
      </w:r>
      <w:r>
        <w:rPr>
          <w:rFonts w:hint="eastAsia" w:ascii="宋体" w:hAnsi="宋体" w:eastAsia="宋体" w:cs="宋体"/>
          <w:bCs/>
          <w:sz w:val="24"/>
          <w:lang w:eastAsia="zh-CN"/>
        </w:rPr>
        <w:t>负责电梯相关业务的办理工作等。</w:t>
      </w:r>
    </w:p>
    <w:p w14:paraId="70A47F78">
      <w:pPr>
        <w:widowControl/>
        <w:numPr>
          <w:ilvl w:val="0"/>
          <w:numId w:val="0"/>
        </w:numPr>
        <w:adjustRightInd w:val="0"/>
        <w:snapToGrid w:val="0"/>
        <w:spacing w:line="360" w:lineRule="auto"/>
        <w:ind w:firstLine="480" w:firstLineChars="200"/>
        <w:jc w:val="left"/>
        <w:rPr>
          <w:rFonts w:hint="eastAsia" w:ascii="宋体" w:hAnsi="宋体" w:eastAsia="宋体" w:cs="宋体"/>
          <w:bCs/>
          <w:sz w:val="24"/>
          <w:lang w:eastAsia="zh-CN"/>
        </w:rPr>
      </w:pPr>
      <w:r>
        <w:rPr>
          <w:rFonts w:hint="eastAsia" w:ascii="宋体" w:hAnsi="宋体" w:eastAsia="宋体" w:cs="宋体"/>
          <w:bCs/>
          <w:sz w:val="24"/>
          <w:lang w:eastAsia="zh-CN"/>
        </w:rPr>
        <w:t>10、</w:t>
      </w:r>
      <w:r>
        <w:rPr>
          <w:rFonts w:hint="eastAsia" w:ascii="宋体" w:hAnsi="宋体" w:cs="宋体"/>
          <w:bCs/>
          <w:sz w:val="24"/>
          <w:lang w:val="en-US" w:eastAsia="zh-CN"/>
        </w:rPr>
        <w:t>中标人</w:t>
      </w:r>
      <w:r>
        <w:rPr>
          <w:rFonts w:hint="eastAsia" w:ascii="宋体" w:hAnsi="宋体" w:eastAsia="宋体" w:cs="宋体"/>
          <w:bCs/>
          <w:sz w:val="24"/>
          <w:lang w:eastAsia="zh-CN"/>
        </w:rPr>
        <w:t>提供电梯安全培训及演练服务，要求每年对</w:t>
      </w:r>
      <w:r>
        <w:rPr>
          <w:rFonts w:hint="eastAsia" w:ascii="宋体" w:hAnsi="宋体" w:cs="宋体"/>
          <w:bCs/>
          <w:sz w:val="24"/>
          <w:lang w:eastAsia="zh-CN"/>
        </w:rPr>
        <w:t>采购人</w:t>
      </w:r>
      <w:r>
        <w:rPr>
          <w:rFonts w:hint="eastAsia" w:ascii="宋体" w:hAnsi="宋体" w:eastAsia="宋体" w:cs="宋体"/>
          <w:bCs/>
          <w:sz w:val="24"/>
          <w:lang w:eastAsia="zh-CN"/>
        </w:rPr>
        <w:t>职工进行</w:t>
      </w:r>
      <w:r>
        <w:rPr>
          <w:rFonts w:hint="eastAsia" w:ascii="宋体" w:hAnsi="宋体" w:cs="宋体"/>
          <w:bCs/>
          <w:sz w:val="24"/>
          <w:lang w:val="en-US" w:eastAsia="zh-CN"/>
        </w:rPr>
        <w:t>≥</w:t>
      </w:r>
      <w:r>
        <w:rPr>
          <w:rFonts w:hint="eastAsia" w:ascii="宋体" w:hAnsi="宋体" w:eastAsia="宋体" w:cs="宋体"/>
          <w:bCs/>
          <w:sz w:val="24"/>
          <w:lang w:eastAsia="zh-CN"/>
        </w:rPr>
        <w:t>一次电梯安全培训及应急演练，每月对电工班人员进行</w:t>
      </w:r>
      <w:r>
        <w:rPr>
          <w:rFonts w:hint="eastAsia" w:ascii="宋体" w:hAnsi="宋体" w:cs="宋体"/>
          <w:bCs/>
          <w:sz w:val="24"/>
          <w:lang w:val="en-US" w:eastAsia="zh-CN"/>
        </w:rPr>
        <w:t>≥一次</w:t>
      </w:r>
      <w:r>
        <w:rPr>
          <w:rFonts w:hint="eastAsia" w:ascii="宋体" w:hAnsi="宋体" w:eastAsia="宋体" w:cs="宋体"/>
          <w:bCs/>
          <w:sz w:val="24"/>
          <w:lang w:eastAsia="zh-CN"/>
        </w:rPr>
        <w:t>技术指导培训。</w:t>
      </w:r>
    </w:p>
    <w:p w14:paraId="0E7F9D52">
      <w:pPr>
        <w:widowControl/>
        <w:numPr>
          <w:ilvl w:val="0"/>
          <w:numId w:val="0"/>
        </w:numPr>
        <w:adjustRightInd w:val="0"/>
        <w:snapToGrid w:val="0"/>
        <w:spacing w:line="360" w:lineRule="auto"/>
        <w:ind w:firstLine="482" w:firstLineChars="200"/>
        <w:jc w:val="left"/>
        <w:rPr>
          <w:rFonts w:hint="eastAsia" w:ascii="宋体" w:hAnsi="宋体" w:cs="宋体"/>
          <w:b/>
          <w:bCs w:val="0"/>
          <w:sz w:val="24"/>
          <w:lang w:eastAsia="zh-CN"/>
        </w:rPr>
      </w:pPr>
      <w:r>
        <w:rPr>
          <w:rFonts w:hint="eastAsia" w:ascii="宋体" w:hAnsi="宋体" w:cs="宋体"/>
          <w:b/>
          <w:bCs w:val="0"/>
          <w:sz w:val="24"/>
          <w:lang w:eastAsia="zh-CN"/>
        </w:rPr>
        <w:t>四、维护保养执行的规范质量标准</w:t>
      </w:r>
    </w:p>
    <w:p w14:paraId="134418E5">
      <w:pPr>
        <w:widowControl/>
        <w:numPr>
          <w:ilvl w:val="0"/>
          <w:numId w:val="0"/>
        </w:numPr>
        <w:adjustRightInd w:val="0"/>
        <w:snapToGrid w:val="0"/>
        <w:spacing w:line="360" w:lineRule="auto"/>
        <w:ind w:firstLine="480" w:firstLineChars="200"/>
        <w:jc w:val="left"/>
        <w:rPr>
          <w:rFonts w:hint="eastAsia" w:ascii="宋体" w:hAnsi="宋体" w:cs="宋体"/>
          <w:b w:val="0"/>
          <w:bCs/>
          <w:sz w:val="24"/>
          <w:lang w:eastAsia="zh-CN"/>
        </w:rPr>
      </w:pPr>
      <w:r>
        <w:rPr>
          <w:rFonts w:hint="eastAsia" w:ascii="宋体" w:hAnsi="宋体" w:cs="宋体"/>
          <w:b w:val="0"/>
          <w:bCs/>
          <w:sz w:val="24"/>
          <w:lang w:eastAsia="zh-CN"/>
        </w:rPr>
        <w:t>1、电梯使用管理与维护保养规则 TSG T5001-2009</w:t>
      </w:r>
    </w:p>
    <w:p w14:paraId="7B435BBA">
      <w:pPr>
        <w:widowControl/>
        <w:numPr>
          <w:ilvl w:val="0"/>
          <w:numId w:val="0"/>
        </w:numPr>
        <w:adjustRightInd w:val="0"/>
        <w:snapToGrid w:val="0"/>
        <w:spacing w:line="360" w:lineRule="auto"/>
        <w:ind w:firstLine="480" w:firstLineChars="200"/>
        <w:jc w:val="left"/>
        <w:rPr>
          <w:rFonts w:hint="eastAsia" w:ascii="宋体" w:hAnsi="宋体" w:cs="宋体"/>
          <w:b w:val="0"/>
          <w:bCs/>
          <w:sz w:val="24"/>
          <w:lang w:eastAsia="zh-CN"/>
        </w:rPr>
      </w:pPr>
      <w:r>
        <w:rPr>
          <w:rFonts w:hint="eastAsia" w:ascii="宋体" w:hAnsi="宋体" w:cs="宋体"/>
          <w:b w:val="0"/>
          <w:bCs/>
          <w:sz w:val="24"/>
          <w:lang w:eastAsia="zh-CN"/>
        </w:rPr>
        <w:t>2、电梯维修保养安全管理规范DB33/728-2009</w:t>
      </w:r>
    </w:p>
    <w:p w14:paraId="33A01373">
      <w:pPr>
        <w:widowControl/>
        <w:numPr>
          <w:ilvl w:val="0"/>
          <w:numId w:val="0"/>
        </w:numPr>
        <w:adjustRightInd w:val="0"/>
        <w:snapToGrid w:val="0"/>
        <w:spacing w:line="360" w:lineRule="auto"/>
        <w:ind w:firstLine="480" w:firstLineChars="200"/>
        <w:jc w:val="left"/>
        <w:rPr>
          <w:rFonts w:hint="eastAsia" w:ascii="宋体" w:hAnsi="宋体" w:cs="宋体"/>
          <w:b w:val="0"/>
          <w:bCs/>
          <w:sz w:val="24"/>
          <w:lang w:eastAsia="zh-CN"/>
        </w:rPr>
      </w:pPr>
      <w:r>
        <w:rPr>
          <w:rFonts w:hint="eastAsia" w:ascii="宋体" w:hAnsi="宋体" w:cs="宋体"/>
          <w:b w:val="0"/>
          <w:bCs/>
          <w:sz w:val="24"/>
          <w:lang w:eastAsia="zh-CN"/>
        </w:rPr>
        <w:t>3、电梯维修规范 GB/T 18775-2002</w:t>
      </w:r>
    </w:p>
    <w:p w14:paraId="45614ABF">
      <w:pPr>
        <w:widowControl/>
        <w:numPr>
          <w:ilvl w:val="0"/>
          <w:numId w:val="0"/>
        </w:numPr>
        <w:adjustRightInd w:val="0"/>
        <w:snapToGrid w:val="0"/>
        <w:spacing w:line="360" w:lineRule="auto"/>
        <w:ind w:firstLine="480" w:firstLineChars="200"/>
        <w:jc w:val="left"/>
        <w:rPr>
          <w:rFonts w:hint="eastAsia" w:ascii="宋体" w:hAnsi="宋体" w:cs="宋体"/>
          <w:b w:val="0"/>
          <w:bCs/>
          <w:sz w:val="24"/>
          <w:lang w:eastAsia="zh-CN"/>
        </w:rPr>
      </w:pPr>
      <w:r>
        <w:rPr>
          <w:rFonts w:hint="eastAsia" w:ascii="宋体" w:hAnsi="宋体" w:cs="宋体"/>
          <w:b w:val="0"/>
          <w:bCs/>
          <w:sz w:val="24"/>
          <w:lang w:eastAsia="zh-CN"/>
        </w:rPr>
        <w:t>4、电梯监督检验和定期检验规则 TSG 7001-2009</w:t>
      </w:r>
    </w:p>
    <w:p w14:paraId="3B7637F4">
      <w:pPr>
        <w:widowControl/>
        <w:numPr>
          <w:ilvl w:val="0"/>
          <w:numId w:val="0"/>
        </w:numPr>
        <w:adjustRightInd w:val="0"/>
        <w:snapToGrid w:val="0"/>
        <w:spacing w:line="360" w:lineRule="auto"/>
        <w:ind w:firstLine="482" w:firstLineChars="200"/>
        <w:jc w:val="left"/>
        <w:rPr>
          <w:rFonts w:hint="eastAsia" w:ascii="宋体" w:hAnsi="宋体" w:cs="宋体"/>
          <w:b/>
          <w:bCs w:val="0"/>
          <w:sz w:val="24"/>
          <w:lang w:eastAsia="zh-CN"/>
        </w:rPr>
      </w:pPr>
      <w:r>
        <w:rPr>
          <w:rFonts w:hint="eastAsia" w:ascii="宋体" w:hAnsi="宋体" w:cs="宋体"/>
          <w:b/>
          <w:bCs w:val="0"/>
          <w:sz w:val="24"/>
          <w:lang w:eastAsia="zh-CN"/>
        </w:rPr>
        <w:t>五、投标人资质要求</w:t>
      </w:r>
    </w:p>
    <w:p w14:paraId="03517B9E">
      <w:pPr>
        <w:widowControl/>
        <w:numPr>
          <w:ilvl w:val="0"/>
          <w:numId w:val="0"/>
        </w:numPr>
        <w:adjustRightInd w:val="0"/>
        <w:snapToGrid w:val="0"/>
        <w:spacing w:line="360" w:lineRule="auto"/>
        <w:ind w:firstLine="480" w:firstLineChars="200"/>
        <w:jc w:val="left"/>
        <w:rPr>
          <w:rFonts w:hint="eastAsia" w:ascii="宋体" w:hAnsi="宋体" w:eastAsia="宋体" w:cs="宋体"/>
          <w:bCs/>
          <w:sz w:val="24"/>
          <w:lang w:eastAsia="zh-CN"/>
        </w:rPr>
      </w:pPr>
      <w:r>
        <w:rPr>
          <w:rFonts w:hint="eastAsia" w:ascii="宋体" w:hAnsi="宋体" w:eastAsia="宋体" w:cs="宋体"/>
          <w:bCs/>
          <w:sz w:val="24"/>
          <w:lang w:eastAsia="zh-CN"/>
        </w:rPr>
        <w:t>1、投标人具有独立法人资格，提供有效的营业执照复印件。</w:t>
      </w:r>
    </w:p>
    <w:p w14:paraId="3B727E58">
      <w:pPr>
        <w:widowControl/>
        <w:numPr>
          <w:ilvl w:val="0"/>
          <w:numId w:val="0"/>
        </w:numPr>
        <w:adjustRightInd w:val="0"/>
        <w:snapToGrid w:val="0"/>
        <w:spacing w:line="360" w:lineRule="auto"/>
        <w:ind w:firstLine="480" w:firstLineChars="200"/>
        <w:jc w:val="left"/>
        <w:rPr>
          <w:rFonts w:hint="eastAsia" w:ascii="宋体" w:hAnsi="宋体" w:eastAsia="宋体" w:cs="宋体"/>
          <w:bCs/>
          <w:sz w:val="24"/>
          <w:lang w:eastAsia="zh-CN"/>
        </w:rPr>
      </w:pPr>
      <w:r>
        <w:rPr>
          <w:rFonts w:hint="eastAsia" w:ascii="宋体" w:hAnsi="宋体" w:eastAsia="宋体" w:cs="宋体"/>
          <w:bCs/>
          <w:sz w:val="24"/>
          <w:lang w:eastAsia="zh-CN"/>
        </w:rPr>
        <w:t>2、报价单位须具有《特种设备安装改造维修许可证（电梯）》的乘客电梯、杂物电梯、载货电梯</w:t>
      </w:r>
      <w:r>
        <w:rPr>
          <w:rFonts w:hint="eastAsia" w:ascii="宋体" w:hAnsi="宋体" w:cs="宋体"/>
          <w:bCs/>
          <w:sz w:val="24"/>
          <w:lang w:val="en-US" w:eastAsia="zh-CN"/>
        </w:rPr>
        <w:t>C</w:t>
      </w:r>
      <w:r>
        <w:rPr>
          <w:rFonts w:hint="eastAsia" w:ascii="宋体" w:hAnsi="宋体" w:eastAsia="宋体" w:cs="宋体"/>
          <w:bCs/>
          <w:sz w:val="24"/>
          <w:lang w:eastAsia="zh-CN"/>
        </w:rPr>
        <w:t>级或以上维修资质，或《特种设备生产许可证》的曳引驱动乘客电梯（含消防员电梯）</w:t>
      </w:r>
      <w:r>
        <w:rPr>
          <w:rFonts w:hint="eastAsia" w:ascii="宋体" w:hAnsi="宋体" w:cs="宋体"/>
          <w:bCs/>
          <w:sz w:val="24"/>
          <w:lang w:val="en-US" w:eastAsia="zh-CN"/>
        </w:rPr>
        <w:t>C</w:t>
      </w:r>
      <w:r>
        <w:rPr>
          <w:rFonts w:hint="eastAsia" w:ascii="宋体" w:hAnsi="宋体" w:eastAsia="宋体" w:cs="宋体"/>
          <w:bCs/>
          <w:sz w:val="24"/>
          <w:lang w:eastAsia="zh-CN"/>
        </w:rPr>
        <w:t>或以上、曳引驱动载货电梯和强制驱动载货电梯（含防爆电梯中的载货电梯）、杂物电梯（含防爆电梯中的杂物电梯）修理资质。</w:t>
      </w:r>
    </w:p>
    <w:p w14:paraId="3DC01D6E">
      <w:pPr>
        <w:widowControl/>
        <w:numPr>
          <w:ilvl w:val="0"/>
          <w:numId w:val="0"/>
        </w:numPr>
        <w:adjustRightInd w:val="0"/>
        <w:snapToGrid w:val="0"/>
        <w:spacing w:line="360" w:lineRule="auto"/>
        <w:ind w:firstLine="480" w:firstLineChars="200"/>
        <w:jc w:val="left"/>
        <w:rPr>
          <w:rFonts w:hint="eastAsia" w:ascii="宋体" w:hAnsi="宋体" w:eastAsia="宋体" w:cs="宋体"/>
          <w:bCs/>
          <w:sz w:val="24"/>
          <w:lang w:eastAsia="zh-CN"/>
        </w:rPr>
      </w:pPr>
      <w:r>
        <w:rPr>
          <w:rFonts w:hint="eastAsia" w:ascii="宋体" w:hAnsi="宋体" w:eastAsia="宋体" w:cs="宋体"/>
          <w:bCs/>
          <w:sz w:val="24"/>
          <w:lang w:eastAsia="zh-CN"/>
        </w:rPr>
        <w:t>3、信用要求：投标人在“信用中国”（www.creditchina.gov.cn）、“中国政府采购网”（www.ccgp.gov.cn）没有被列入失信被执行人、重大税收违法案件当事人名单、政府采购严重违法失信行为记录名单（提供上述网站的信用记录查询结果打印或网页截图页面加盖投标人公章），工商注册地在珠海市的投标人还须同时提供“信用中国（广东珠海）”（http://credit.zhuhai.gov.cn/）的信用记录查询结果。</w:t>
      </w:r>
    </w:p>
    <w:p w14:paraId="3464D628">
      <w:pPr>
        <w:pStyle w:val="3"/>
        <w:snapToGrid w:val="0"/>
        <w:ind w:left="816" w:leftChars="229" w:hanging="335" w:hangingChars="139"/>
        <w:rPr>
          <w:rFonts w:hint="eastAsia" w:eastAsia="宋体" w:cs="宋体"/>
          <w:b/>
          <w:sz w:val="24"/>
          <w:lang w:eastAsia="zh-CN"/>
        </w:rPr>
      </w:pPr>
      <w:r>
        <w:rPr>
          <w:rFonts w:hint="eastAsia" w:cs="宋体"/>
          <w:b/>
          <w:sz w:val="24"/>
          <w:lang w:eastAsia="zh-CN"/>
        </w:rPr>
        <w:t>六</w:t>
      </w:r>
      <w:r>
        <w:rPr>
          <w:rFonts w:hint="eastAsia" w:cs="宋体"/>
          <w:b/>
          <w:sz w:val="24"/>
        </w:rPr>
        <w:t>、</w:t>
      </w:r>
      <w:r>
        <w:rPr>
          <w:rFonts w:hint="eastAsia" w:cs="宋体"/>
          <w:b/>
          <w:sz w:val="24"/>
          <w:lang w:eastAsia="zh-CN"/>
        </w:rPr>
        <w:t>服务要求</w:t>
      </w:r>
    </w:p>
    <w:p w14:paraId="67D027D7">
      <w:pPr>
        <w:widowControl/>
        <w:numPr>
          <w:ilvl w:val="0"/>
          <w:numId w:val="0"/>
        </w:numPr>
        <w:adjustRightInd w:val="0"/>
        <w:snapToGrid w:val="0"/>
        <w:spacing w:line="360" w:lineRule="auto"/>
        <w:ind w:firstLine="480" w:firstLineChars="200"/>
        <w:jc w:val="left"/>
        <w:rPr>
          <w:rFonts w:hint="eastAsia" w:ascii="宋体" w:hAnsi="宋体" w:eastAsia="宋体" w:cs="宋体"/>
          <w:bCs/>
          <w:sz w:val="24"/>
          <w:lang w:eastAsia="zh-CN"/>
        </w:rPr>
      </w:pPr>
      <w:r>
        <w:rPr>
          <w:rFonts w:hint="eastAsia" w:ascii="宋体" w:hAnsi="宋体" w:eastAsia="宋体" w:cs="宋体"/>
          <w:bCs/>
          <w:sz w:val="24"/>
          <w:lang w:eastAsia="zh-CN"/>
        </w:rPr>
        <w:t>1、中标人在中标后1个月内提供详细具体的半月、月、季度、年维保计划。</w:t>
      </w:r>
    </w:p>
    <w:p w14:paraId="1BACE266">
      <w:pPr>
        <w:widowControl/>
        <w:numPr>
          <w:ilvl w:val="0"/>
          <w:numId w:val="0"/>
        </w:numPr>
        <w:adjustRightInd w:val="0"/>
        <w:snapToGrid w:val="0"/>
        <w:spacing w:line="360" w:lineRule="auto"/>
        <w:ind w:firstLine="480" w:firstLineChars="200"/>
        <w:jc w:val="left"/>
        <w:rPr>
          <w:rFonts w:hint="eastAsia" w:ascii="宋体" w:hAnsi="宋体" w:eastAsia="宋体" w:cs="宋体"/>
          <w:bCs/>
          <w:sz w:val="24"/>
          <w:lang w:eastAsia="zh-CN"/>
        </w:rPr>
      </w:pPr>
      <w:r>
        <w:rPr>
          <w:rFonts w:hint="eastAsia" w:ascii="宋体" w:hAnsi="宋体" w:eastAsia="宋体" w:cs="宋体"/>
          <w:bCs/>
          <w:sz w:val="24"/>
          <w:lang w:eastAsia="zh-CN"/>
        </w:rPr>
        <w:t>2、中标人须在每月5日前完成上半月的电梯保养工作，在每月20日前完成下半月的电梯保养工作，并在次月10日前向</w:t>
      </w:r>
      <w:r>
        <w:rPr>
          <w:rFonts w:hint="eastAsia" w:ascii="宋体" w:hAnsi="宋体" w:cs="宋体"/>
          <w:bCs/>
          <w:sz w:val="24"/>
          <w:lang w:eastAsia="zh-CN"/>
        </w:rPr>
        <w:t>采购人</w:t>
      </w:r>
      <w:r>
        <w:rPr>
          <w:rFonts w:hint="eastAsia" w:ascii="宋体" w:hAnsi="宋体" w:eastAsia="宋体" w:cs="宋体"/>
          <w:bCs/>
          <w:sz w:val="24"/>
          <w:lang w:eastAsia="zh-CN"/>
        </w:rPr>
        <w:t>出具维保报告。</w:t>
      </w:r>
    </w:p>
    <w:p w14:paraId="6B1BCCB5">
      <w:pPr>
        <w:widowControl/>
        <w:numPr>
          <w:ilvl w:val="0"/>
          <w:numId w:val="0"/>
        </w:numPr>
        <w:adjustRightInd w:val="0"/>
        <w:snapToGrid w:val="0"/>
        <w:spacing w:line="360" w:lineRule="auto"/>
        <w:ind w:firstLine="480" w:firstLineChars="200"/>
        <w:jc w:val="left"/>
        <w:rPr>
          <w:rFonts w:hint="eastAsia" w:ascii="宋体" w:hAnsi="宋体" w:eastAsia="宋体" w:cs="宋体"/>
          <w:bCs/>
          <w:sz w:val="24"/>
          <w:lang w:eastAsia="zh-CN"/>
        </w:rPr>
      </w:pPr>
      <w:r>
        <w:rPr>
          <w:rFonts w:hint="eastAsia" w:ascii="宋体" w:hAnsi="宋体" w:eastAsia="宋体" w:cs="宋体"/>
          <w:bCs/>
          <w:sz w:val="24"/>
          <w:lang w:eastAsia="zh-CN"/>
        </w:rPr>
        <w:t>3、中标人设立24小时值班电话且保证24小时通讯畅通，以便能及时联系响应。</w:t>
      </w:r>
    </w:p>
    <w:p w14:paraId="03BD6E54">
      <w:pPr>
        <w:widowControl/>
        <w:numPr>
          <w:ilvl w:val="0"/>
          <w:numId w:val="0"/>
        </w:numPr>
        <w:adjustRightInd w:val="0"/>
        <w:snapToGrid w:val="0"/>
        <w:spacing w:line="360" w:lineRule="auto"/>
        <w:ind w:firstLine="480" w:firstLineChars="200"/>
        <w:jc w:val="left"/>
        <w:rPr>
          <w:rFonts w:hint="eastAsia" w:ascii="宋体" w:hAnsi="宋体" w:eastAsia="宋体" w:cs="宋体"/>
          <w:bCs/>
          <w:sz w:val="24"/>
          <w:lang w:eastAsia="zh-CN"/>
        </w:rPr>
      </w:pPr>
      <w:r>
        <w:rPr>
          <w:rFonts w:hint="eastAsia" w:ascii="宋体" w:hAnsi="宋体" w:eastAsia="宋体" w:cs="宋体"/>
          <w:bCs/>
          <w:sz w:val="24"/>
          <w:lang w:eastAsia="zh-CN"/>
        </w:rPr>
        <w:t>4、在接到</w:t>
      </w:r>
      <w:r>
        <w:rPr>
          <w:rFonts w:hint="eastAsia" w:ascii="宋体" w:hAnsi="宋体" w:cs="宋体"/>
          <w:bCs/>
          <w:sz w:val="24"/>
          <w:lang w:eastAsia="zh-CN"/>
        </w:rPr>
        <w:t>采购人</w:t>
      </w:r>
      <w:r>
        <w:rPr>
          <w:rFonts w:hint="eastAsia" w:ascii="宋体" w:hAnsi="宋体" w:eastAsia="宋体" w:cs="宋体"/>
          <w:bCs/>
          <w:sz w:val="24"/>
          <w:lang w:eastAsia="zh-CN"/>
        </w:rPr>
        <w:t>通知的一般故障报修时，中标人维护人员应在</w:t>
      </w:r>
      <w:r>
        <w:rPr>
          <w:rFonts w:hint="eastAsia" w:ascii="宋体" w:hAnsi="宋体" w:cs="宋体"/>
          <w:bCs/>
          <w:sz w:val="24"/>
          <w:lang w:eastAsia="zh-CN"/>
        </w:rPr>
        <w:t>半小时</w:t>
      </w:r>
      <w:r>
        <w:rPr>
          <w:rFonts w:hint="eastAsia" w:ascii="宋体" w:hAnsi="宋体" w:eastAsia="宋体" w:cs="宋体"/>
          <w:bCs/>
          <w:sz w:val="24"/>
          <w:lang w:eastAsia="zh-CN"/>
        </w:rPr>
        <w:t>内到场维修，并在24小时内检修维护完毕。如故障在24小时内无法排除，维保人员及时上报公司，公司应以书面形式向</w:t>
      </w:r>
      <w:r>
        <w:rPr>
          <w:rFonts w:hint="eastAsia" w:ascii="宋体" w:hAnsi="宋体" w:cs="宋体"/>
          <w:bCs/>
          <w:sz w:val="24"/>
          <w:lang w:eastAsia="zh-CN"/>
        </w:rPr>
        <w:t>采购人</w:t>
      </w:r>
      <w:r>
        <w:rPr>
          <w:rFonts w:hint="eastAsia" w:ascii="宋体" w:hAnsi="宋体" w:eastAsia="宋体" w:cs="宋体"/>
          <w:bCs/>
          <w:sz w:val="24"/>
          <w:lang w:eastAsia="zh-CN"/>
        </w:rPr>
        <w:t>上报，并</w:t>
      </w:r>
      <w:r>
        <w:rPr>
          <w:rFonts w:hint="eastAsia" w:ascii="宋体" w:hAnsi="宋体" w:cs="宋体"/>
          <w:bCs/>
          <w:sz w:val="24"/>
          <w:lang w:val="en-US" w:eastAsia="zh-CN"/>
        </w:rPr>
        <w:t>在≤2天内</w:t>
      </w:r>
      <w:r>
        <w:rPr>
          <w:rFonts w:hint="eastAsia" w:ascii="宋体" w:hAnsi="宋体" w:eastAsia="宋体" w:cs="宋体"/>
          <w:bCs/>
          <w:sz w:val="24"/>
          <w:lang w:eastAsia="zh-CN"/>
        </w:rPr>
        <w:t>给予解决方案。遇应急抢修、重要故障或电梯困人等情形，中标人维护人员必须在接到通知后</w:t>
      </w:r>
      <w:r>
        <w:rPr>
          <w:rFonts w:hint="eastAsia" w:ascii="宋体" w:hAnsi="宋体" w:eastAsia="宋体" w:cs="宋体"/>
          <w:bCs/>
          <w:sz w:val="24"/>
          <w:lang w:val="en-US" w:eastAsia="zh-CN"/>
        </w:rPr>
        <w:t>15</w:t>
      </w:r>
      <w:r>
        <w:rPr>
          <w:rFonts w:hint="eastAsia" w:ascii="宋体" w:hAnsi="宋体" w:eastAsia="宋体" w:cs="宋体"/>
          <w:bCs/>
          <w:sz w:val="24"/>
          <w:lang w:eastAsia="zh-CN"/>
        </w:rPr>
        <w:t>分钟内到达现场抢修救援及配合工作。</w:t>
      </w:r>
      <w:r>
        <w:rPr>
          <w:rFonts w:hint="eastAsia" w:ascii="宋体" w:hAnsi="宋体" w:eastAsia="宋体" w:cs="宋体"/>
          <w:bCs/>
          <w:sz w:val="24"/>
          <w:lang w:val="en-US" w:eastAsia="zh-CN"/>
        </w:rPr>
        <w:t>中标人</w:t>
      </w:r>
      <w:r>
        <w:rPr>
          <w:rFonts w:hint="eastAsia" w:ascii="宋体" w:hAnsi="宋体" w:eastAsia="宋体" w:cs="宋体"/>
          <w:bCs/>
          <w:sz w:val="24"/>
          <w:lang w:eastAsia="zh-CN"/>
        </w:rPr>
        <w:t>未能有效解决或未在要求时间内赶到的，</w:t>
      </w:r>
      <w:r>
        <w:rPr>
          <w:rFonts w:hint="eastAsia" w:ascii="宋体" w:hAnsi="宋体" w:eastAsia="宋体" w:cs="宋体"/>
          <w:bCs/>
          <w:sz w:val="24"/>
          <w:lang w:val="en-US" w:eastAsia="zh-CN"/>
        </w:rPr>
        <w:t>采购人</w:t>
      </w:r>
      <w:r>
        <w:rPr>
          <w:rFonts w:hint="eastAsia" w:ascii="宋体" w:hAnsi="宋体" w:eastAsia="宋体" w:cs="宋体"/>
          <w:bCs/>
          <w:sz w:val="24"/>
          <w:lang w:eastAsia="zh-CN"/>
        </w:rPr>
        <w:t>有权自行或聘请第三方进行维修，所产生的一切费用及风险由</w:t>
      </w:r>
      <w:r>
        <w:rPr>
          <w:rFonts w:hint="eastAsia" w:ascii="宋体" w:hAnsi="宋体" w:eastAsia="宋体" w:cs="宋体"/>
          <w:bCs/>
          <w:sz w:val="24"/>
          <w:lang w:val="en-US" w:eastAsia="zh-CN"/>
        </w:rPr>
        <w:t>中标人</w:t>
      </w:r>
      <w:r>
        <w:rPr>
          <w:rFonts w:hint="eastAsia" w:ascii="宋体" w:hAnsi="宋体" w:eastAsia="宋体" w:cs="宋体"/>
          <w:bCs/>
          <w:sz w:val="24"/>
          <w:lang w:eastAsia="zh-CN"/>
        </w:rPr>
        <w:t>承担，</w:t>
      </w:r>
      <w:r>
        <w:rPr>
          <w:rFonts w:hint="eastAsia" w:ascii="宋体" w:hAnsi="宋体" w:eastAsia="宋体" w:cs="宋体"/>
          <w:bCs/>
          <w:sz w:val="24"/>
          <w:lang w:val="en-US" w:eastAsia="zh-CN"/>
        </w:rPr>
        <w:t>采购人</w:t>
      </w:r>
      <w:r>
        <w:rPr>
          <w:rFonts w:hint="eastAsia" w:ascii="宋体" w:hAnsi="宋体" w:eastAsia="宋体" w:cs="宋体"/>
          <w:bCs/>
          <w:sz w:val="24"/>
          <w:lang w:eastAsia="zh-CN"/>
        </w:rPr>
        <w:t>有权直接从未结算的费用中扣除相关费用，不足抵扣维修费用的，不足部分仍由</w:t>
      </w:r>
      <w:r>
        <w:rPr>
          <w:rFonts w:hint="eastAsia" w:ascii="宋体" w:hAnsi="宋体" w:eastAsia="宋体" w:cs="宋体"/>
          <w:bCs/>
          <w:sz w:val="24"/>
          <w:lang w:val="en-US" w:eastAsia="zh-CN"/>
        </w:rPr>
        <w:t>中标人</w:t>
      </w:r>
      <w:r>
        <w:rPr>
          <w:rFonts w:hint="eastAsia" w:ascii="宋体" w:hAnsi="宋体" w:eastAsia="宋体" w:cs="宋体"/>
          <w:bCs/>
          <w:sz w:val="24"/>
          <w:lang w:eastAsia="zh-CN"/>
        </w:rPr>
        <w:t>承担。</w:t>
      </w:r>
    </w:p>
    <w:p w14:paraId="6ADB2BFC">
      <w:pPr>
        <w:widowControl/>
        <w:numPr>
          <w:ilvl w:val="0"/>
          <w:numId w:val="0"/>
        </w:numPr>
        <w:adjustRightInd w:val="0"/>
        <w:snapToGrid w:val="0"/>
        <w:spacing w:line="360" w:lineRule="auto"/>
        <w:ind w:firstLine="480" w:firstLineChars="200"/>
        <w:jc w:val="left"/>
        <w:rPr>
          <w:rFonts w:hint="eastAsia" w:ascii="宋体" w:hAnsi="宋体" w:eastAsia="宋体" w:cs="宋体"/>
          <w:bCs/>
          <w:sz w:val="24"/>
          <w:lang w:eastAsia="zh-CN"/>
        </w:rPr>
      </w:pPr>
      <w:r>
        <w:rPr>
          <w:rFonts w:hint="eastAsia" w:ascii="宋体" w:hAnsi="宋体" w:eastAsia="宋体" w:cs="宋体"/>
          <w:bCs/>
          <w:sz w:val="24"/>
          <w:lang w:eastAsia="zh-CN"/>
        </w:rPr>
        <w:t>5、经过中标人正常维修保养后，应保障同一部件自维修之日起</w:t>
      </w:r>
      <w:r>
        <w:rPr>
          <w:rFonts w:hint="eastAsia" w:ascii="宋体" w:hAnsi="宋体" w:cs="宋体"/>
          <w:bCs/>
          <w:sz w:val="24"/>
          <w:lang w:val="en-US" w:eastAsia="zh-CN"/>
        </w:rPr>
        <w:t>≤</w:t>
      </w:r>
      <w:r>
        <w:rPr>
          <w:rFonts w:hint="eastAsia" w:ascii="宋体" w:hAnsi="宋体" w:eastAsia="宋体" w:cs="宋体"/>
          <w:bCs/>
          <w:sz w:val="24"/>
          <w:lang w:eastAsia="zh-CN"/>
        </w:rPr>
        <w:t>90日历日不得再次出现同种故障。</w:t>
      </w:r>
    </w:p>
    <w:p w14:paraId="50B928ED">
      <w:pPr>
        <w:widowControl/>
        <w:numPr>
          <w:ilvl w:val="0"/>
          <w:numId w:val="0"/>
        </w:numPr>
        <w:adjustRightInd w:val="0"/>
        <w:snapToGrid w:val="0"/>
        <w:spacing w:line="360" w:lineRule="auto"/>
        <w:ind w:firstLine="480" w:firstLineChars="200"/>
        <w:jc w:val="left"/>
        <w:rPr>
          <w:rFonts w:hint="eastAsia" w:ascii="宋体" w:hAnsi="宋体" w:eastAsia="宋体" w:cs="宋体"/>
          <w:bCs/>
          <w:sz w:val="24"/>
          <w:lang w:eastAsia="zh-CN"/>
        </w:rPr>
      </w:pPr>
      <w:r>
        <w:rPr>
          <w:rFonts w:hint="eastAsia" w:ascii="宋体" w:hAnsi="宋体" w:eastAsia="宋体" w:cs="宋体"/>
          <w:bCs/>
          <w:sz w:val="24"/>
          <w:lang w:eastAsia="zh-CN"/>
        </w:rPr>
        <w:t>6、经过中标人正常维修保养后，非自然灾害等不可抗力因素下，因维保不当造成的大面积故障停梯或电梯安全事故，均由中标人承担直接或间接的经济损失及相应法律责任。</w:t>
      </w:r>
    </w:p>
    <w:p w14:paraId="6EA61C4B">
      <w:pPr>
        <w:widowControl/>
        <w:numPr>
          <w:ilvl w:val="0"/>
          <w:numId w:val="0"/>
        </w:numPr>
        <w:adjustRightInd w:val="0"/>
        <w:snapToGrid w:val="0"/>
        <w:spacing w:line="360" w:lineRule="auto"/>
        <w:ind w:firstLine="480" w:firstLineChars="200"/>
        <w:jc w:val="left"/>
        <w:rPr>
          <w:rFonts w:hint="eastAsia" w:ascii="宋体" w:hAnsi="宋体" w:eastAsia="宋体" w:cs="宋体"/>
          <w:bCs/>
          <w:sz w:val="24"/>
          <w:lang w:eastAsia="zh-CN"/>
        </w:rPr>
      </w:pPr>
      <w:r>
        <w:rPr>
          <w:rFonts w:hint="eastAsia" w:ascii="宋体" w:hAnsi="宋体" w:eastAsia="宋体" w:cs="宋体"/>
          <w:bCs/>
          <w:sz w:val="24"/>
          <w:lang w:eastAsia="zh-CN"/>
        </w:rPr>
        <w:t>7、中标人接到</w:t>
      </w:r>
      <w:r>
        <w:rPr>
          <w:rFonts w:hint="eastAsia" w:ascii="宋体" w:hAnsi="宋体" w:cs="宋体"/>
          <w:bCs/>
          <w:sz w:val="24"/>
          <w:lang w:eastAsia="zh-CN"/>
        </w:rPr>
        <w:t>采购人</w:t>
      </w:r>
      <w:r>
        <w:rPr>
          <w:rFonts w:hint="eastAsia" w:ascii="宋体" w:hAnsi="宋体" w:eastAsia="宋体" w:cs="宋体"/>
          <w:bCs/>
          <w:sz w:val="24"/>
          <w:lang w:eastAsia="zh-CN"/>
        </w:rPr>
        <w:t>排故、抢修通知，未及时赶到现场处理，因此造成的不良影响及相关损失由中标人承担。</w:t>
      </w:r>
    </w:p>
    <w:p w14:paraId="5A804520">
      <w:pPr>
        <w:widowControl/>
        <w:numPr>
          <w:ilvl w:val="0"/>
          <w:numId w:val="0"/>
        </w:numPr>
        <w:adjustRightInd w:val="0"/>
        <w:snapToGrid w:val="0"/>
        <w:spacing w:line="360" w:lineRule="auto"/>
        <w:ind w:firstLine="480" w:firstLineChars="200"/>
        <w:jc w:val="left"/>
        <w:rPr>
          <w:rFonts w:hint="eastAsia" w:ascii="宋体" w:hAnsi="宋体" w:eastAsia="宋体" w:cs="宋体"/>
          <w:bCs/>
          <w:sz w:val="24"/>
          <w:lang w:eastAsia="zh-CN"/>
        </w:rPr>
      </w:pPr>
      <w:r>
        <w:rPr>
          <w:rFonts w:hint="eastAsia" w:ascii="宋体" w:hAnsi="宋体" w:eastAsia="宋体" w:cs="宋体"/>
          <w:bCs/>
          <w:sz w:val="24"/>
          <w:lang w:eastAsia="zh-CN"/>
        </w:rPr>
        <w:t>8、中标人应为</w:t>
      </w:r>
      <w:r>
        <w:rPr>
          <w:rFonts w:hint="eastAsia" w:ascii="宋体" w:hAnsi="宋体" w:cs="宋体"/>
          <w:bCs/>
          <w:sz w:val="24"/>
          <w:lang w:eastAsia="zh-CN"/>
        </w:rPr>
        <w:t>采购人</w:t>
      </w:r>
      <w:r>
        <w:rPr>
          <w:rFonts w:hint="eastAsia" w:ascii="宋体" w:hAnsi="宋体" w:eastAsia="宋体" w:cs="宋体"/>
          <w:bCs/>
          <w:sz w:val="24"/>
          <w:lang w:eastAsia="zh-CN"/>
        </w:rPr>
        <w:t>所有维保项目配备固定</w:t>
      </w:r>
      <w:r>
        <w:rPr>
          <w:rFonts w:hint="eastAsia" w:ascii="宋体" w:hAnsi="宋体" w:cs="宋体"/>
          <w:bCs/>
          <w:sz w:val="24"/>
          <w:lang w:val="en-US" w:eastAsia="zh-CN"/>
        </w:rPr>
        <w:t>≥</w:t>
      </w:r>
      <w:r>
        <w:rPr>
          <w:rFonts w:hint="eastAsia" w:ascii="宋体" w:hAnsi="宋体" w:eastAsia="宋体" w:cs="宋体"/>
          <w:bCs/>
          <w:sz w:val="24"/>
          <w:lang w:eastAsia="zh-CN"/>
        </w:rPr>
        <w:t>5名持有“特种作业操作证”的电梯维保专业技术人员，以便能稳定、熟练、及时的提供持续响应服务(提供相应人员最近3个月本单位缴纳社保的证明)，并要求每次维保人员</w:t>
      </w:r>
      <w:r>
        <w:rPr>
          <w:rFonts w:hint="eastAsia" w:ascii="宋体" w:hAnsi="宋体" w:cs="宋体"/>
          <w:bCs/>
          <w:sz w:val="24"/>
          <w:lang w:val="en-US" w:eastAsia="zh-CN"/>
        </w:rPr>
        <w:t>≥</w:t>
      </w:r>
      <w:r>
        <w:rPr>
          <w:rFonts w:hint="eastAsia" w:ascii="宋体" w:hAnsi="宋体" w:eastAsia="宋体" w:cs="宋体"/>
          <w:bCs/>
          <w:sz w:val="24"/>
          <w:lang w:eastAsia="zh-CN"/>
        </w:rPr>
        <w:t>3人。</w:t>
      </w:r>
    </w:p>
    <w:p w14:paraId="04FEF293">
      <w:pPr>
        <w:widowControl/>
        <w:numPr>
          <w:ilvl w:val="0"/>
          <w:numId w:val="0"/>
        </w:numPr>
        <w:adjustRightInd w:val="0"/>
        <w:snapToGrid w:val="0"/>
        <w:spacing w:line="360" w:lineRule="auto"/>
        <w:ind w:firstLine="480" w:firstLineChars="200"/>
        <w:jc w:val="left"/>
        <w:rPr>
          <w:rFonts w:hint="eastAsia" w:ascii="宋体" w:hAnsi="宋体" w:eastAsia="宋体" w:cs="宋体"/>
          <w:bCs/>
          <w:sz w:val="24"/>
          <w:lang w:eastAsia="zh-CN"/>
        </w:rPr>
      </w:pPr>
      <w:r>
        <w:rPr>
          <w:rFonts w:hint="eastAsia" w:ascii="宋体" w:hAnsi="宋体" w:eastAsia="宋体" w:cs="宋体"/>
          <w:bCs/>
          <w:sz w:val="24"/>
          <w:lang w:eastAsia="zh-CN"/>
        </w:rPr>
        <w:t>9、中标人应遵循各项安全生产管理条例，并按照各类维护保养执行电梯规范标准进行电梯维护维修操作，因违章违规操作造成的事故由中标人承担全部经济损失和法律责任。</w:t>
      </w:r>
    </w:p>
    <w:p w14:paraId="0342B3EB">
      <w:pPr>
        <w:widowControl/>
        <w:numPr>
          <w:ilvl w:val="0"/>
          <w:numId w:val="0"/>
        </w:numPr>
        <w:adjustRightInd w:val="0"/>
        <w:snapToGrid w:val="0"/>
        <w:spacing w:line="360" w:lineRule="auto"/>
        <w:ind w:firstLine="480" w:firstLineChars="200"/>
        <w:jc w:val="left"/>
        <w:rPr>
          <w:rFonts w:hint="eastAsia" w:ascii="宋体" w:hAnsi="宋体" w:eastAsia="宋体" w:cs="宋体"/>
          <w:bCs/>
          <w:sz w:val="24"/>
          <w:lang w:eastAsia="zh-CN"/>
        </w:rPr>
      </w:pPr>
      <w:r>
        <w:rPr>
          <w:rFonts w:hint="eastAsia" w:ascii="宋体" w:hAnsi="宋体" w:eastAsia="宋体" w:cs="宋体"/>
          <w:bCs/>
          <w:sz w:val="24"/>
          <w:lang w:eastAsia="zh-CN"/>
        </w:rPr>
        <w:t>10、中标人应严格按照国家有关标准规范、合同约定和维保工作计划方案进行作业，服从配合</w:t>
      </w:r>
      <w:r>
        <w:rPr>
          <w:rFonts w:hint="eastAsia" w:ascii="宋体" w:hAnsi="宋体" w:cs="宋体"/>
          <w:bCs/>
          <w:sz w:val="24"/>
          <w:lang w:eastAsia="zh-CN"/>
        </w:rPr>
        <w:t>采购人</w:t>
      </w:r>
      <w:r>
        <w:rPr>
          <w:rFonts w:hint="eastAsia" w:ascii="宋体" w:hAnsi="宋体" w:eastAsia="宋体" w:cs="宋体"/>
          <w:bCs/>
          <w:sz w:val="24"/>
          <w:lang w:eastAsia="zh-CN"/>
        </w:rPr>
        <w:t>管理，</w:t>
      </w:r>
      <w:r>
        <w:rPr>
          <w:rFonts w:hint="eastAsia" w:ascii="宋体" w:hAnsi="宋体" w:cs="宋体"/>
          <w:bCs/>
          <w:sz w:val="24"/>
          <w:lang w:eastAsia="zh-CN"/>
        </w:rPr>
        <w:t>采购人</w:t>
      </w:r>
      <w:r>
        <w:rPr>
          <w:rFonts w:hint="eastAsia" w:ascii="宋体" w:hAnsi="宋体" w:eastAsia="宋体" w:cs="宋体"/>
          <w:bCs/>
          <w:sz w:val="24"/>
          <w:lang w:eastAsia="zh-CN"/>
        </w:rPr>
        <w:t>有权对中标人的工作内容进行监督检查，若中标人存在违法违规、弄虚作假、偷工减料行为或不按照合同要求完成工作维护，</w:t>
      </w:r>
      <w:r>
        <w:rPr>
          <w:rFonts w:hint="eastAsia" w:ascii="宋体" w:hAnsi="宋体" w:cs="宋体"/>
          <w:bCs/>
          <w:sz w:val="24"/>
          <w:lang w:eastAsia="zh-CN"/>
        </w:rPr>
        <w:t>采购人</w:t>
      </w:r>
      <w:r>
        <w:rPr>
          <w:rFonts w:hint="eastAsia" w:ascii="宋体" w:hAnsi="宋体" w:eastAsia="宋体" w:cs="宋体"/>
          <w:bCs/>
          <w:sz w:val="24"/>
          <w:lang w:eastAsia="zh-CN"/>
        </w:rPr>
        <w:t>可以扣除相应的维保费用。如因中标人维保作业不到位、不及时造成事故或损失的，由中标人承担一切责任。中标人接到</w:t>
      </w:r>
      <w:r>
        <w:rPr>
          <w:rFonts w:hint="eastAsia" w:ascii="宋体" w:hAnsi="宋体" w:cs="宋体"/>
          <w:bCs/>
          <w:sz w:val="24"/>
          <w:lang w:eastAsia="zh-CN"/>
        </w:rPr>
        <w:t>采购人</w:t>
      </w:r>
      <w:r>
        <w:rPr>
          <w:rFonts w:hint="eastAsia" w:ascii="宋体" w:hAnsi="宋体" w:eastAsia="宋体" w:cs="宋体"/>
          <w:bCs/>
          <w:sz w:val="24"/>
          <w:lang w:eastAsia="zh-CN"/>
        </w:rPr>
        <w:t>排故抢修通知，在合约规定时限内未到达，中标人除承担因此造成的经济损失外，还将一次性扣除维保费500元。如中标人</w:t>
      </w:r>
      <w:r>
        <w:rPr>
          <w:rFonts w:hint="eastAsia" w:ascii="宋体" w:hAnsi="宋体" w:cs="宋体"/>
          <w:bCs/>
          <w:sz w:val="24"/>
          <w:lang w:val="en-US" w:eastAsia="zh-CN"/>
        </w:rPr>
        <w:t>≥3次</w:t>
      </w:r>
      <w:r>
        <w:rPr>
          <w:rFonts w:hint="eastAsia" w:ascii="宋体" w:hAnsi="宋体" w:eastAsia="宋体" w:cs="宋体"/>
          <w:bCs/>
          <w:sz w:val="24"/>
          <w:lang w:eastAsia="zh-CN"/>
        </w:rPr>
        <w:t>违反合约或不配合</w:t>
      </w:r>
      <w:r>
        <w:rPr>
          <w:rFonts w:hint="eastAsia" w:ascii="宋体" w:hAnsi="宋体" w:cs="宋体"/>
          <w:bCs/>
          <w:sz w:val="24"/>
          <w:lang w:eastAsia="zh-CN"/>
        </w:rPr>
        <w:t>采购人</w:t>
      </w:r>
      <w:r>
        <w:rPr>
          <w:rFonts w:hint="eastAsia" w:ascii="宋体" w:hAnsi="宋体" w:eastAsia="宋体" w:cs="宋体"/>
          <w:bCs/>
          <w:sz w:val="24"/>
          <w:lang w:eastAsia="zh-CN"/>
        </w:rPr>
        <w:t>管理，</w:t>
      </w:r>
      <w:r>
        <w:rPr>
          <w:rFonts w:hint="eastAsia" w:ascii="宋体" w:hAnsi="宋体" w:cs="宋体"/>
          <w:bCs/>
          <w:sz w:val="24"/>
          <w:lang w:eastAsia="zh-CN"/>
        </w:rPr>
        <w:t>采购人</w:t>
      </w:r>
      <w:r>
        <w:rPr>
          <w:rFonts w:hint="eastAsia" w:ascii="宋体" w:hAnsi="宋体" w:eastAsia="宋体" w:cs="宋体"/>
          <w:bCs/>
          <w:sz w:val="24"/>
          <w:lang w:eastAsia="zh-CN"/>
        </w:rPr>
        <w:t>有权提前终止合约，造成的经济损失和法律责任由中标人承担。</w:t>
      </w:r>
    </w:p>
    <w:p w14:paraId="3F722457">
      <w:pPr>
        <w:widowControl/>
        <w:numPr>
          <w:ilvl w:val="0"/>
          <w:numId w:val="0"/>
        </w:numPr>
        <w:adjustRightInd w:val="0"/>
        <w:snapToGrid w:val="0"/>
        <w:spacing w:line="360" w:lineRule="auto"/>
        <w:ind w:firstLine="480" w:firstLineChars="200"/>
        <w:jc w:val="left"/>
        <w:rPr>
          <w:rFonts w:hint="eastAsia" w:ascii="宋体" w:hAnsi="宋体" w:eastAsia="宋体" w:cs="宋体"/>
          <w:bCs/>
          <w:sz w:val="24"/>
          <w:lang w:eastAsia="zh-CN"/>
        </w:rPr>
      </w:pPr>
      <w:r>
        <w:rPr>
          <w:rFonts w:hint="eastAsia" w:ascii="宋体" w:hAnsi="宋体" w:eastAsia="宋体" w:cs="宋体"/>
          <w:bCs/>
          <w:sz w:val="24"/>
          <w:lang w:eastAsia="zh-CN"/>
        </w:rPr>
        <w:t>11、中标人电梯维护、维修档案记录需对所有维保项目的检查维护时间、地点、人员，发现的问题、维修处理措施、维护结果等均进行详细的记录，由</w:t>
      </w:r>
      <w:r>
        <w:rPr>
          <w:rFonts w:hint="eastAsia" w:ascii="宋体" w:hAnsi="宋体" w:cs="宋体"/>
          <w:bCs/>
          <w:sz w:val="24"/>
          <w:lang w:val="en-US" w:eastAsia="zh-CN"/>
        </w:rPr>
        <w:t>中标人及采购人</w:t>
      </w:r>
      <w:r>
        <w:rPr>
          <w:rFonts w:hint="eastAsia" w:ascii="宋体" w:hAnsi="宋体" w:eastAsia="宋体" w:cs="宋体"/>
          <w:bCs/>
          <w:sz w:val="24"/>
          <w:lang w:eastAsia="zh-CN"/>
        </w:rPr>
        <w:t>双方签字确认存档备查，并按月、季度、年度移交维保档案。</w:t>
      </w:r>
    </w:p>
    <w:p w14:paraId="4451957A">
      <w:pPr>
        <w:widowControl/>
        <w:numPr>
          <w:ilvl w:val="0"/>
          <w:numId w:val="0"/>
        </w:numPr>
        <w:adjustRightInd w:val="0"/>
        <w:snapToGrid w:val="0"/>
        <w:spacing w:line="360" w:lineRule="auto"/>
        <w:ind w:firstLine="480" w:firstLineChars="200"/>
        <w:jc w:val="left"/>
        <w:rPr>
          <w:rFonts w:hint="eastAsia" w:ascii="宋体" w:hAnsi="宋体" w:eastAsia="宋体" w:cs="宋体"/>
          <w:bCs/>
          <w:sz w:val="24"/>
          <w:lang w:eastAsia="zh-CN"/>
        </w:rPr>
      </w:pPr>
      <w:r>
        <w:rPr>
          <w:rFonts w:hint="eastAsia" w:ascii="宋体" w:hAnsi="宋体" w:eastAsia="宋体" w:cs="宋体"/>
          <w:bCs/>
          <w:sz w:val="24"/>
          <w:lang w:eastAsia="zh-CN"/>
        </w:rPr>
        <w:t>12、中标人确保不因电梯问题而影响</w:t>
      </w:r>
      <w:r>
        <w:rPr>
          <w:rFonts w:hint="eastAsia" w:ascii="宋体" w:hAnsi="宋体" w:cs="宋体"/>
          <w:bCs/>
          <w:sz w:val="24"/>
          <w:lang w:val="en-US" w:eastAsia="zh-CN"/>
        </w:rPr>
        <w:t>采购人</w:t>
      </w:r>
      <w:r>
        <w:rPr>
          <w:rFonts w:hint="eastAsia" w:ascii="宋体" w:hAnsi="宋体" w:eastAsia="宋体" w:cs="宋体"/>
          <w:bCs/>
          <w:sz w:val="24"/>
          <w:lang w:eastAsia="zh-CN"/>
        </w:rPr>
        <w:t>业务工作的正常开展。</w:t>
      </w:r>
    </w:p>
    <w:p w14:paraId="719B8CA9">
      <w:pPr>
        <w:widowControl/>
        <w:numPr>
          <w:ilvl w:val="0"/>
          <w:numId w:val="0"/>
        </w:numPr>
        <w:adjustRightInd w:val="0"/>
        <w:snapToGrid w:val="0"/>
        <w:spacing w:line="360" w:lineRule="auto"/>
        <w:ind w:firstLine="480" w:firstLineChars="200"/>
        <w:jc w:val="left"/>
        <w:rPr>
          <w:rFonts w:hint="eastAsia" w:ascii="宋体" w:hAnsi="宋体" w:eastAsia="宋体" w:cs="宋体"/>
          <w:bCs/>
          <w:sz w:val="24"/>
          <w:lang w:eastAsia="zh-CN"/>
        </w:rPr>
      </w:pPr>
      <w:r>
        <w:rPr>
          <w:rFonts w:hint="eastAsia" w:ascii="宋体" w:hAnsi="宋体" w:eastAsia="宋体" w:cs="宋体"/>
          <w:bCs/>
          <w:sz w:val="24"/>
          <w:lang w:eastAsia="zh-CN"/>
        </w:rPr>
        <w:t>13、中标人必须完成市场监督管理部门及上级机关规定的相关工作。</w:t>
      </w:r>
    </w:p>
    <w:p w14:paraId="49858728">
      <w:pPr>
        <w:widowControl/>
        <w:numPr>
          <w:ilvl w:val="0"/>
          <w:numId w:val="0"/>
        </w:numPr>
        <w:adjustRightInd w:val="0"/>
        <w:snapToGrid w:val="0"/>
        <w:spacing w:line="360" w:lineRule="auto"/>
        <w:ind w:firstLine="480" w:firstLineChars="200"/>
        <w:jc w:val="left"/>
        <w:rPr>
          <w:rFonts w:hint="eastAsia" w:ascii="宋体" w:hAnsi="宋体" w:eastAsia="宋体" w:cs="宋体"/>
          <w:bCs/>
          <w:sz w:val="24"/>
          <w:lang w:eastAsia="zh-CN"/>
        </w:rPr>
      </w:pPr>
      <w:r>
        <w:rPr>
          <w:rFonts w:hint="eastAsia" w:ascii="宋体" w:hAnsi="宋体" w:eastAsia="宋体" w:cs="宋体"/>
          <w:bCs/>
          <w:sz w:val="24"/>
          <w:lang w:eastAsia="zh-CN"/>
        </w:rPr>
        <w:t>14、中标人需负责并配合</w:t>
      </w:r>
      <w:r>
        <w:rPr>
          <w:rFonts w:hint="eastAsia" w:ascii="宋体" w:hAnsi="宋体" w:cs="宋体"/>
          <w:bCs/>
          <w:sz w:val="24"/>
          <w:lang w:val="en-US" w:eastAsia="zh-CN"/>
        </w:rPr>
        <w:t>采购人</w:t>
      </w:r>
      <w:r>
        <w:rPr>
          <w:rFonts w:hint="eastAsia" w:ascii="宋体" w:hAnsi="宋体" w:eastAsia="宋体" w:cs="宋体"/>
          <w:bCs/>
          <w:sz w:val="24"/>
          <w:lang w:eastAsia="zh-CN"/>
        </w:rPr>
        <w:t>完成电梯相关的业务办理及上级检查等工作。</w:t>
      </w:r>
    </w:p>
    <w:p w14:paraId="360D023E">
      <w:pPr>
        <w:widowControl/>
        <w:numPr>
          <w:ilvl w:val="0"/>
          <w:numId w:val="0"/>
        </w:numPr>
        <w:adjustRightInd w:val="0"/>
        <w:snapToGrid w:val="0"/>
        <w:spacing w:line="360" w:lineRule="auto"/>
        <w:ind w:firstLine="480" w:firstLineChars="200"/>
        <w:jc w:val="left"/>
        <w:rPr>
          <w:rFonts w:hint="eastAsia" w:ascii="宋体" w:hAnsi="宋体" w:eastAsia="宋体" w:cs="宋体"/>
          <w:bCs/>
          <w:sz w:val="24"/>
          <w:lang w:eastAsia="zh-CN"/>
        </w:rPr>
      </w:pPr>
      <w:r>
        <w:rPr>
          <w:rFonts w:hint="eastAsia" w:ascii="宋体" w:hAnsi="宋体" w:eastAsia="宋体" w:cs="宋体"/>
          <w:bCs/>
          <w:sz w:val="24"/>
          <w:lang w:eastAsia="zh-CN"/>
        </w:rPr>
        <w:t>15、中标人维保作业时，需严格遵守施工安全要求，施工作业期间施工人员的安全行为与事故责任由</w:t>
      </w:r>
      <w:r>
        <w:rPr>
          <w:rFonts w:hint="eastAsia" w:ascii="宋体" w:hAnsi="宋体" w:cs="宋体"/>
          <w:bCs/>
          <w:sz w:val="24"/>
          <w:lang w:val="en-US" w:eastAsia="zh-CN"/>
        </w:rPr>
        <w:t>中标人</w:t>
      </w:r>
      <w:r>
        <w:rPr>
          <w:rFonts w:hint="eastAsia" w:ascii="宋体" w:hAnsi="宋体" w:eastAsia="宋体" w:cs="宋体"/>
          <w:bCs/>
          <w:sz w:val="24"/>
          <w:lang w:eastAsia="zh-CN"/>
        </w:rPr>
        <w:t>全部承担。</w:t>
      </w:r>
    </w:p>
    <w:p w14:paraId="5600F1F0">
      <w:pPr>
        <w:widowControl/>
        <w:numPr>
          <w:ilvl w:val="0"/>
          <w:numId w:val="0"/>
        </w:numPr>
        <w:adjustRightInd w:val="0"/>
        <w:snapToGrid w:val="0"/>
        <w:spacing w:line="360" w:lineRule="auto"/>
        <w:ind w:firstLine="480" w:firstLineChars="200"/>
        <w:jc w:val="left"/>
        <w:rPr>
          <w:rFonts w:hint="eastAsia" w:ascii="宋体" w:hAnsi="宋体" w:eastAsia="宋体" w:cs="宋体"/>
          <w:bCs/>
          <w:sz w:val="24"/>
          <w:lang w:eastAsia="zh-CN"/>
        </w:rPr>
      </w:pPr>
      <w:r>
        <w:rPr>
          <w:rFonts w:hint="eastAsia" w:ascii="宋体" w:hAnsi="宋体" w:eastAsia="宋体" w:cs="宋体"/>
          <w:bCs/>
          <w:sz w:val="24"/>
          <w:lang w:eastAsia="zh-CN"/>
        </w:rPr>
        <w:t>16、中标人在维保期间必须无条件遵守</w:t>
      </w:r>
      <w:r>
        <w:rPr>
          <w:rFonts w:hint="eastAsia" w:ascii="宋体" w:hAnsi="宋体" w:cs="宋体"/>
          <w:bCs/>
          <w:sz w:val="24"/>
          <w:lang w:val="en-US" w:eastAsia="zh-CN"/>
        </w:rPr>
        <w:t>采购人</w:t>
      </w:r>
      <w:r>
        <w:rPr>
          <w:rFonts w:hint="eastAsia" w:ascii="宋体" w:hAnsi="宋体" w:eastAsia="宋体" w:cs="宋体"/>
          <w:bCs/>
          <w:sz w:val="24"/>
          <w:lang w:eastAsia="zh-CN"/>
        </w:rPr>
        <w:t>的管理规定，不得损坏</w:t>
      </w:r>
      <w:r>
        <w:rPr>
          <w:rFonts w:hint="eastAsia" w:ascii="宋体" w:hAnsi="宋体" w:cs="宋体"/>
          <w:bCs/>
          <w:sz w:val="24"/>
          <w:lang w:val="en-US" w:eastAsia="zh-CN"/>
        </w:rPr>
        <w:t>采购人</w:t>
      </w:r>
      <w:r>
        <w:rPr>
          <w:rFonts w:hint="eastAsia" w:ascii="宋体" w:hAnsi="宋体" w:eastAsia="宋体" w:cs="宋体"/>
          <w:bCs/>
          <w:sz w:val="24"/>
          <w:lang w:eastAsia="zh-CN"/>
        </w:rPr>
        <w:t>的基础设施与财物，维修保养时需做好围挡及温馨提示工作，维保工作完成后需做好现场清理工作等。</w:t>
      </w:r>
    </w:p>
    <w:p w14:paraId="41E521B2">
      <w:pPr>
        <w:widowControl/>
        <w:numPr>
          <w:ilvl w:val="0"/>
          <w:numId w:val="0"/>
        </w:numPr>
        <w:adjustRightInd w:val="0"/>
        <w:snapToGrid w:val="0"/>
        <w:spacing w:line="360" w:lineRule="auto"/>
        <w:ind w:firstLine="480" w:firstLineChars="200"/>
        <w:jc w:val="left"/>
        <w:rPr>
          <w:rFonts w:hint="eastAsia" w:ascii="宋体" w:hAnsi="宋体" w:eastAsia="宋体" w:cs="宋体"/>
          <w:bCs/>
          <w:sz w:val="24"/>
          <w:lang w:eastAsia="zh-CN"/>
        </w:rPr>
      </w:pPr>
      <w:r>
        <w:rPr>
          <w:rFonts w:hint="eastAsia" w:ascii="宋体" w:hAnsi="宋体" w:eastAsia="宋体" w:cs="宋体"/>
          <w:bCs/>
          <w:sz w:val="24"/>
          <w:lang w:eastAsia="zh-CN"/>
        </w:rPr>
        <w:t>17、中标人维护人员在进场维保或维修作业时需穿戴统一工作服及工作证，工作服及工作证由中标人负责配备。</w:t>
      </w:r>
    </w:p>
    <w:p w14:paraId="22A6767C">
      <w:pPr>
        <w:widowControl/>
        <w:numPr>
          <w:ilvl w:val="0"/>
          <w:numId w:val="0"/>
        </w:numPr>
        <w:adjustRightInd w:val="0"/>
        <w:snapToGrid w:val="0"/>
        <w:spacing w:line="360" w:lineRule="auto"/>
        <w:ind w:firstLine="480" w:firstLineChars="200"/>
        <w:jc w:val="left"/>
        <w:rPr>
          <w:rFonts w:hint="eastAsia" w:ascii="宋体" w:hAnsi="宋体" w:eastAsia="宋体" w:cs="宋体"/>
          <w:bCs/>
          <w:sz w:val="24"/>
          <w:lang w:eastAsia="zh-CN"/>
        </w:rPr>
      </w:pPr>
      <w:r>
        <w:rPr>
          <w:rFonts w:hint="eastAsia" w:ascii="宋体" w:hAnsi="宋体" w:eastAsia="宋体" w:cs="宋体"/>
          <w:bCs/>
          <w:sz w:val="24"/>
          <w:lang w:eastAsia="zh-CN"/>
        </w:rPr>
        <w:t>18、中标人必须遵纪守法，严格执行国家、广东省、珠海市有关法律、法规和制度。</w:t>
      </w:r>
    </w:p>
    <w:p w14:paraId="13F3E1CC">
      <w:pPr>
        <w:widowControl/>
        <w:numPr>
          <w:ilvl w:val="0"/>
          <w:numId w:val="0"/>
        </w:numPr>
        <w:adjustRightInd w:val="0"/>
        <w:snapToGrid w:val="0"/>
        <w:spacing w:line="360" w:lineRule="auto"/>
        <w:ind w:firstLine="480" w:firstLineChars="200"/>
        <w:jc w:val="left"/>
        <w:rPr>
          <w:rFonts w:hint="eastAsia" w:ascii="宋体" w:hAnsi="宋体" w:eastAsia="宋体" w:cs="宋体"/>
          <w:bCs/>
          <w:sz w:val="24"/>
          <w:lang w:eastAsia="zh-CN"/>
        </w:rPr>
      </w:pPr>
      <w:r>
        <w:rPr>
          <w:rFonts w:hint="eastAsia" w:ascii="宋体" w:hAnsi="宋体" w:eastAsia="宋体" w:cs="宋体"/>
          <w:bCs/>
          <w:sz w:val="24"/>
          <w:lang w:eastAsia="zh-CN"/>
        </w:rPr>
        <w:t>19、</w:t>
      </w:r>
      <w:r>
        <w:rPr>
          <w:rFonts w:hint="eastAsia" w:ascii="宋体" w:hAnsi="宋体" w:cs="宋体"/>
          <w:bCs/>
          <w:sz w:val="24"/>
          <w:lang w:val="en-US" w:eastAsia="zh-CN"/>
        </w:rPr>
        <w:t>服务期</w:t>
      </w:r>
      <w:r>
        <w:rPr>
          <w:rFonts w:hint="eastAsia" w:ascii="宋体" w:hAnsi="宋体" w:eastAsia="宋体" w:cs="宋体"/>
          <w:bCs/>
          <w:sz w:val="24"/>
          <w:lang w:eastAsia="zh-CN"/>
        </w:rPr>
        <w:t>自合同签订之日起1年，采用1+1模式签订。在合同期内，</w:t>
      </w:r>
      <w:r>
        <w:rPr>
          <w:rFonts w:hint="eastAsia" w:ascii="宋体" w:hAnsi="宋体" w:cs="宋体"/>
          <w:bCs/>
          <w:sz w:val="24"/>
          <w:lang w:val="en-US" w:eastAsia="zh-CN"/>
        </w:rPr>
        <w:t>采购人</w:t>
      </w:r>
      <w:r>
        <w:rPr>
          <w:rFonts w:hint="eastAsia" w:ascii="宋体" w:hAnsi="宋体" w:eastAsia="宋体" w:cs="宋体"/>
          <w:bCs/>
          <w:sz w:val="24"/>
          <w:lang w:eastAsia="zh-CN"/>
        </w:rPr>
        <w:t>每月对电梯维保工作进行考核，具体考核细则由</w:t>
      </w:r>
      <w:r>
        <w:rPr>
          <w:rFonts w:hint="eastAsia" w:ascii="宋体" w:hAnsi="宋体" w:cs="宋体"/>
          <w:bCs/>
          <w:sz w:val="24"/>
          <w:lang w:val="en-US" w:eastAsia="zh-CN"/>
        </w:rPr>
        <w:t>采购人</w:t>
      </w:r>
      <w:r>
        <w:rPr>
          <w:rFonts w:hint="eastAsia" w:ascii="宋体" w:hAnsi="宋体" w:eastAsia="宋体" w:cs="宋体"/>
          <w:bCs/>
          <w:sz w:val="24"/>
          <w:lang w:eastAsia="zh-CN"/>
        </w:rPr>
        <w:t>根据实际情况制定（见附件1）。若连续3个月考核不达标（低于80分），</w:t>
      </w:r>
      <w:r>
        <w:rPr>
          <w:rFonts w:hint="eastAsia" w:ascii="宋体" w:hAnsi="宋体" w:cs="宋体"/>
          <w:bCs/>
          <w:sz w:val="24"/>
          <w:lang w:eastAsia="zh-CN"/>
        </w:rPr>
        <w:t>采购人</w:t>
      </w:r>
      <w:r>
        <w:rPr>
          <w:rFonts w:hint="eastAsia" w:ascii="宋体" w:hAnsi="宋体" w:eastAsia="宋体" w:cs="宋体"/>
          <w:bCs/>
          <w:sz w:val="24"/>
          <w:lang w:eastAsia="zh-CN"/>
        </w:rPr>
        <w:t>有权解除合同。合同期满前2个月，</w:t>
      </w:r>
      <w:r>
        <w:rPr>
          <w:rFonts w:hint="eastAsia" w:ascii="宋体" w:hAnsi="宋体" w:cs="宋体"/>
          <w:bCs/>
          <w:sz w:val="24"/>
          <w:lang w:val="en-US" w:eastAsia="zh-CN"/>
        </w:rPr>
        <w:t>采购人</w:t>
      </w:r>
      <w:r>
        <w:rPr>
          <w:rFonts w:hint="eastAsia" w:ascii="宋体" w:hAnsi="宋体" w:eastAsia="宋体" w:cs="宋体"/>
          <w:bCs/>
          <w:sz w:val="24"/>
          <w:lang w:eastAsia="zh-CN"/>
        </w:rPr>
        <w:t>对合同履约情况进行综合考核，若考核达标（考核分数大于或等于80分），且双方均无异议，则续签合同1年，若考核不达标（考核分数小于80分），</w:t>
      </w:r>
      <w:r>
        <w:rPr>
          <w:rFonts w:hint="eastAsia" w:ascii="宋体" w:hAnsi="宋体" w:cs="宋体"/>
          <w:bCs/>
          <w:sz w:val="24"/>
          <w:lang w:eastAsia="zh-CN"/>
        </w:rPr>
        <w:t>采购人</w:t>
      </w:r>
      <w:r>
        <w:rPr>
          <w:rFonts w:hint="eastAsia" w:ascii="宋体" w:hAnsi="宋体" w:eastAsia="宋体" w:cs="宋体"/>
          <w:bCs/>
          <w:sz w:val="24"/>
          <w:lang w:eastAsia="zh-CN"/>
        </w:rPr>
        <w:t>有权终止合同。</w:t>
      </w:r>
    </w:p>
    <w:p w14:paraId="7269D7D2">
      <w:pPr>
        <w:widowControl/>
        <w:adjustRightInd w:val="0"/>
        <w:snapToGrid w:val="0"/>
        <w:spacing w:line="360" w:lineRule="auto"/>
        <w:ind w:firstLine="482" w:firstLineChars="200"/>
        <w:rPr>
          <w:rFonts w:hint="eastAsia" w:ascii="宋体" w:hAnsi="宋体" w:cs="宋体"/>
          <w:b/>
          <w:bCs w:val="0"/>
          <w:sz w:val="24"/>
          <w:lang w:val="en-US" w:eastAsia="zh-CN"/>
        </w:rPr>
      </w:pPr>
      <w:r>
        <w:rPr>
          <w:rFonts w:hint="eastAsia" w:ascii="宋体" w:hAnsi="宋体" w:cs="宋体"/>
          <w:b/>
          <w:bCs w:val="0"/>
          <w:sz w:val="24"/>
          <w:lang w:val="en-US" w:eastAsia="zh-CN"/>
        </w:rPr>
        <w:t>七、付款方式</w:t>
      </w:r>
    </w:p>
    <w:p w14:paraId="6CB42DD2">
      <w:pPr>
        <w:widowControl/>
        <w:adjustRightInd w:val="0"/>
        <w:snapToGrid w:val="0"/>
        <w:spacing w:line="360" w:lineRule="auto"/>
        <w:ind w:firstLine="480" w:firstLineChars="200"/>
        <w:rPr>
          <w:rFonts w:hint="eastAsia" w:ascii="宋体" w:hAnsi="宋体" w:cs="宋体"/>
          <w:bCs/>
          <w:sz w:val="24"/>
          <w:lang w:val="en-US" w:eastAsia="zh-CN"/>
        </w:rPr>
      </w:pPr>
      <w:r>
        <w:rPr>
          <w:rFonts w:hint="eastAsia" w:ascii="宋体" w:hAnsi="宋体" w:cs="宋体"/>
          <w:bCs/>
          <w:sz w:val="24"/>
          <w:lang w:val="en-US" w:eastAsia="zh-CN"/>
        </w:rPr>
        <w:t>经采购人考核后，根据考核结果按月支付维保费用。采购人于收到中标人开出的合法有效等额发票及出具的经采购人书面审核合格的电梯维保工作报告后3个月内向中标人支付该月的维护保养费。</w:t>
      </w:r>
    </w:p>
    <w:p w14:paraId="2AB32869">
      <w:pPr>
        <w:jc w:val="both"/>
        <w:rPr>
          <w:rFonts w:hint="eastAsia"/>
          <w:sz w:val="32"/>
          <w:szCs w:val="32"/>
        </w:rPr>
      </w:pPr>
    </w:p>
    <w:sectPr>
      <w:footerReference r:id="rId3" w:type="default"/>
      <w:pgSz w:w="11906" w:h="16838"/>
      <w:pgMar w:top="1440" w:right="1800" w:bottom="1440" w:left="1800" w:header="851" w:footer="992" w:gutter="0"/>
      <w:pgNumType w:fmt="numberInDash"/>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1"/>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D1D6BA4">
    <w:pPr>
      <w:pStyle w:val="4"/>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33B2EFFB">
                          <w:pPr>
                            <w:pStyle w:val="4"/>
                          </w:pPr>
                          <w:r>
                            <w:fldChar w:fldCharType="begin"/>
                          </w:r>
                          <w:r>
                            <w:instrText xml:space="preserve"> PAGE  \* MERGEFORMAT </w:instrText>
                          </w:r>
                          <w:r>
                            <w:fldChar w:fldCharType="separate"/>
                          </w:r>
                          <w:r>
                            <w:t>1</w:t>
                          </w:r>
                          <w:r>
                            <w:fldChar w:fldCharType="end"/>
                          </w:r>
                        </w:p>
                      </w:txbxContent>
                    </wps:txbx>
                    <wps:bodyPr vert="horz" wrap="none" lIns="0" tIns="0" rIns="0" bIns="0" anchor="t" anchorCtr="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">
              <v:fill on="f" focussize="0,0"/>
              <v:stroke on="f"/>
              <v:imagedata o:title=""/>
              <o:lock v:ext="edit" aspectratio="f"/>
              <v:textbox inset="0mm,0mm,0mm,0mm" style="mso-fit-shape-to-text:t;">
                <w:txbxContent>
                  <w:p w14:paraId="33B2EFFB">
                    <w:pPr>
                      <w:pStyle w:val="4"/>
                    </w:pPr>
                    <w:r>
                      <w:fldChar w:fldCharType="begin"/>
                    </w:r>
                    <w:r>
                      <w:instrText xml:space="preserve"> PAGE  \* MERGEFORMAT </w:instrText>
                    </w:r>
                    <w:r>
                      <w:fldChar w:fldCharType="separate"/>
                    </w:r>
                    <w:r>
                      <w:t>1</w:t>
                    </w:r>
                    <w:r>
                      <w:fldChar w:fldCharType="end"/>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hyphenationZone w:val="36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GVmNDg5ZDYyNDU5MDYxNjUwZjJkY2JlODEzMjNkNDUifQ=="/>
  </w:docVars>
  <w:rsids>
    <w:rsidRoot w:val="00956595"/>
    <w:rsid w:val="001E32A1"/>
    <w:rsid w:val="00314F79"/>
    <w:rsid w:val="00646312"/>
    <w:rsid w:val="00956595"/>
    <w:rsid w:val="00D86558"/>
    <w:rsid w:val="01AB23DF"/>
    <w:rsid w:val="02CA2411"/>
    <w:rsid w:val="03081CB4"/>
    <w:rsid w:val="04D961D2"/>
    <w:rsid w:val="05EC5A41"/>
    <w:rsid w:val="06BC62C2"/>
    <w:rsid w:val="089445F5"/>
    <w:rsid w:val="0A394D32"/>
    <w:rsid w:val="0E384C75"/>
    <w:rsid w:val="0F596DD9"/>
    <w:rsid w:val="109721F0"/>
    <w:rsid w:val="10CC228F"/>
    <w:rsid w:val="10E261B1"/>
    <w:rsid w:val="12470936"/>
    <w:rsid w:val="15494AF6"/>
    <w:rsid w:val="161019F1"/>
    <w:rsid w:val="16456CD9"/>
    <w:rsid w:val="1AF7289A"/>
    <w:rsid w:val="1CED0538"/>
    <w:rsid w:val="1D141E15"/>
    <w:rsid w:val="1FA77D7C"/>
    <w:rsid w:val="208330B8"/>
    <w:rsid w:val="26E478C3"/>
    <w:rsid w:val="274C7C07"/>
    <w:rsid w:val="2A046A9A"/>
    <w:rsid w:val="2A442517"/>
    <w:rsid w:val="2A7124F1"/>
    <w:rsid w:val="2ABF66C9"/>
    <w:rsid w:val="2B815643"/>
    <w:rsid w:val="2BF10F0D"/>
    <w:rsid w:val="2BF86A9B"/>
    <w:rsid w:val="3237472A"/>
    <w:rsid w:val="326F499F"/>
    <w:rsid w:val="34B84026"/>
    <w:rsid w:val="35A54B95"/>
    <w:rsid w:val="3672117D"/>
    <w:rsid w:val="37465132"/>
    <w:rsid w:val="387621B1"/>
    <w:rsid w:val="387C718B"/>
    <w:rsid w:val="39DA2225"/>
    <w:rsid w:val="39F7798F"/>
    <w:rsid w:val="3A0100BD"/>
    <w:rsid w:val="3B1968AD"/>
    <w:rsid w:val="3C3A31D9"/>
    <w:rsid w:val="3D1A302F"/>
    <w:rsid w:val="3F6C59EB"/>
    <w:rsid w:val="40AD1F78"/>
    <w:rsid w:val="41C41101"/>
    <w:rsid w:val="41F74B66"/>
    <w:rsid w:val="4232169D"/>
    <w:rsid w:val="45090FEE"/>
    <w:rsid w:val="45E51BD9"/>
    <w:rsid w:val="481446BB"/>
    <w:rsid w:val="49903B46"/>
    <w:rsid w:val="4D255A68"/>
    <w:rsid w:val="4EE7286F"/>
    <w:rsid w:val="508205CE"/>
    <w:rsid w:val="50E5374C"/>
    <w:rsid w:val="556D6BE9"/>
    <w:rsid w:val="560D4FDF"/>
    <w:rsid w:val="561B0A15"/>
    <w:rsid w:val="56CC2D80"/>
    <w:rsid w:val="57811FC9"/>
    <w:rsid w:val="5A816D3E"/>
    <w:rsid w:val="5B75239C"/>
    <w:rsid w:val="5CD02427"/>
    <w:rsid w:val="5D2E4F44"/>
    <w:rsid w:val="5DAB3A48"/>
    <w:rsid w:val="634E77AA"/>
    <w:rsid w:val="6A5430DB"/>
    <w:rsid w:val="6A5864E9"/>
    <w:rsid w:val="6B1545DE"/>
    <w:rsid w:val="6DD10457"/>
    <w:rsid w:val="6E237515"/>
    <w:rsid w:val="6FC1387B"/>
    <w:rsid w:val="705F2453"/>
    <w:rsid w:val="70FE54E7"/>
    <w:rsid w:val="722135F2"/>
    <w:rsid w:val="727D1FBC"/>
    <w:rsid w:val="729B5FC0"/>
    <w:rsid w:val="7338355D"/>
    <w:rsid w:val="73B31C3E"/>
    <w:rsid w:val="73E80006"/>
    <w:rsid w:val="75FF080A"/>
    <w:rsid w:val="76080E37"/>
    <w:rsid w:val="76576537"/>
    <w:rsid w:val="7AB90228"/>
    <w:rsid w:val="7CFA5C81"/>
    <w:rsid w:val="7E7B5725"/>
  </w:rsids>
  <m:mathPr>
    <m:brkBin m:val="before"/>
    <m:brkBinSub m:val="--"/>
    <m:smallFrac m:val="0"/>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39"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8">
    <w:name w:val="Default Paragraph Font"/>
    <w:semiHidden/>
    <w:qFormat/>
    <w:uiPriority w:val="0"/>
  </w:style>
  <w:style w:type="table" w:default="1" w:styleId="6">
    <w:name w:val="Normal Table"/>
    <w:semiHidden/>
    <w:qFormat/>
    <w:uiPriority w:val="0"/>
    <w:tblPr>
      <w:tblCellMar>
        <w:top w:w="0" w:type="dxa"/>
        <w:left w:w="108" w:type="dxa"/>
        <w:bottom w:w="0" w:type="dxa"/>
        <w:right w:w="108" w:type="dxa"/>
      </w:tblCellMar>
    </w:tblPr>
  </w:style>
  <w:style w:type="paragraph" w:styleId="2">
    <w:name w:val="Body Text"/>
    <w:basedOn w:val="1"/>
    <w:qFormat/>
    <w:uiPriority w:val="0"/>
    <w:pPr>
      <w:spacing w:after="120"/>
    </w:pPr>
  </w:style>
  <w:style w:type="paragraph" w:styleId="3">
    <w:name w:val="Body Text Indent"/>
    <w:basedOn w:val="1"/>
    <w:qFormat/>
    <w:uiPriority w:val="0"/>
    <w:pPr>
      <w:spacing w:line="360" w:lineRule="auto"/>
      <w:ind w:left="716" w:leftChars="341" w:firstLine="2"/>
    </w:pPr>
    <w:rPr>
      <w:rFonts w:ascii="宋体" w:hAnsi="宋体"/>
      <w:bCs/>
    </w:rPr>
  </w:style>
  <w:style w:type="paragraph" w:styleId="4">
    <w:name w:val="footer"/>
    <w:basedOn w:val="1"/>
    <w:link w:val="11"/>
    <w:qFormat/>
    <w:uiPriority w:val="0"/>
    <w:pPr>
      <w:tabs>
        <w:tab w:val="center" w:pos="4153"/>
        <w:tab w:val="right" w:pos="8306"/>
      </w:tabs>
      <w:snapToGrid w:val="0"/>
      <w:jc w:val="left"/>
    </w:pPr>
    <w:rPr>
      <w:sz w:val="18"/>
      <w:szCs w:val="18"/>
    </w:rPr>
  </w:style>
  <w:style w:type="paragraph" w:styleId="5">
    <w:name w:val="header"/>
    <w:basedOn w:val="1"/>
    <w:link w:val="12"/>
    <w:qFormat/>
    <w:uiPriority w:val="0"/>
    <w:pPr>
      <w:pBdr>
        <w:bottom w:val="single" w:color="auto" w:sz="6" w:space="1"/>
      </w:pBdr>
      <w:tabs>
        <w:tab w:val="center" w:pos="4153"/>
        <w:tab w:val="right" w:pos="8306"/>
      </w:tabs>
      <w:snapToGrid w:val="0"/>
      <w:jc w:val="center"/>
    </w:pPr>
    <w:rPr>
      <w:sz w:val="18"/>
      <w:szCs w:val="18"/>
    </w:rPr>
  </w:style>
  <w:style w:type="table" w:styleId="7">
    <w:name w:val="Table Grid"/>
    <w:basedOn w:val="6"/>
    <w:qFormat/>
    <w:uiPriority w:val="3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9">
    <w:name w:val="FollowedHyperlink"/>
    <w:basedOn w:val="8"/>
    <w:qFormat/>
    <w:uiPriority w:val="0"/>
    <w:rPr>
      <w:color w:val="555555"/>
      <w:u w:val="none"/>
    </w:rPr>
  </w:style>
  <w:style w:type="character" w:styleId="10">
    <w:name w:val="Hyperlink"/>
    <w:basedOn w:val="8"/>
    <w:qFormat/>
    <w:uiPriority w:val="0"/>
    <w:rPr>
      <w:color w:val="555555"/>
      <w:u w:val="none"/>
    </w:rPr>
  </w:style>
  <w:style w:type="character" w:customStyle="1" w:styleId="11">
    <w:name w:val="页脚 Char"/>
    <w:basedOn w:val="8"/>
    <w:link w:val="4"/>
    <w:qFormat/>
    <w:uiPriority w:val="0"/>
    <w:rPr>
      <w:kern w:val="2"/>
      <w:sz w:val="18"/>
      <w:szCs w:val="18"/>
    </w:rPr>
  </w:style>
  <w:style w:type="character" w:customStyle="1" w:styleId="12">
    <w:name w:val="页眉 Char"/>
    <w:basedOn w:val="8"/>
    <w:link w:val="5"/>
    <w:qFormat/>
    <w:uiPriority w:val="0"/>
    <w:rPr>
      <w:kern w:val="2"/>
      <w:sz w:val="18"/>
      <w:szCs w:val="18"/>
    </w:rPr>
  </w:style>
  <w:style w:type="character" w:customStyle="1" w:styleId="13">
    <w:name w:val="target_fixed"/>
    <w:basedOn w:val="8"/>
    <w:qFormat/>
    <w:uiPriority w:val="0"/>
  </w:style>
  <w:style w:type="character" w:customStyle="1" w:styleId="14">
    <w:name w:val="button"/>
    <w:basedOn w:val="8"/>
    <w:qFormat/>
    <w:uiPriority w:val="0"/>
  </w:style>
  <w:style w:type="character" w:customStyle="1" w:styleId="15">
    <w:name w:val="tmpztreemove_arrow"/>
    <w:basedOn w:val="8"/>
    <w:qFormat/>
    <w:uiPriority w:val="0"/>
  </w:style>
  <w:style w:type="character" w:customStyle="1" w:styleId="16">
    <w:name w:val="on"/>
    <w:basedOn w:val="8"/>
    <w:uiPriority w:val="0"/>
    <w:rPr>
      <w:vanish/>
      <w:shd w:val="clear" w:color="auto" w:fill="FFFFFF"/>
    </w:rPr>
  </w:style>
  <w:style w:type="paragraph" w:styleId="17">
    <w:name w:val="List Paragraph"/>
    <w:basedOn w:val="1"/>
    <w:qFormat/>
    <w:uiPriority w:val="99"/>
    <w:pPr>
      <w:ind w:firstLine="420" w:firstLineChars="200"/>
    </w:pPr>
  </w:style>
  <w:style w:type="paragraph" w:customStyle="1" w:styleId="18">
    <w:name w:val="正文_0"/>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9">
    <w:name w:val="纯文本_0"/>
    <w:basedOn w:val="18"/>
    <w:next w:val="18"/>
    <w:qFormat/>
    <w:uiPriority w:val="0"/>
    <w:rPr>
      <w:rFonts w:ascii="宋体" w:hAnsi="Courier New"/>
      <w:kern w:val="0"/>
      <w:sz w:val="20"/>
      <w:szCs w:val="21"/>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5</Pages>
  <Words>2946</Words>
  <Characters>3502</Characters>
  <Lines>2</Lines>
  <Paragraphs>1</Paragraphs>
  <TotalTime>156</TotalTime>
  <ScaleCrop>false</ScaleCrop>
  <LinksUpToDate>false</LinksUpToDate>
  <CharactersWithSpaces>3508</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2018-10-23T11:43:00Z</dcterms:created>
  <dc:creator>SDWM</dc:creator>
  <cp:lastModifiedBy>张鹏</cp:lastModifiedBy>
  <cp:lastPrinted>2022-03-24T08:43:00Z</cp:lastPrinted>
  <dcterms:modified xsi:type="dcterms:W3CDTF">2025-03-06T08:34:00Z</dcterms:modified>
  <dc:title>投标资质</dc:title>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0D64E16FE50F47249CA185BD0118A92A_13</vt:lpwstr>
  </property>
  <property fmtid="{D5CDD505-2E9C-101B-9397-08002B2CF9AE}" pid="4" name="KSOTemplateDocerSaveRecord">
    <vt:lpwstr>eyJoZGlkIjoiZjc2YzI2OWM3OTczNzM2MDNhMWZhMzNkZDQzNTJkZjYiLCJ1c2VySWQiOiIyMjUyMzUxNzcifQ==</vt:lpwstr>
  </property>
</Properties>
</file>