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963BA">
      <w:pPr>
        <w:widowControl/>
        <w:spacing w:line="480" w:lineRule="auto"/>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内毒素检测仪参数要求</w:t>
      </w:r>
    </w:p>
    <w:p w14:paraId="65A60E75">
      <w:pPr>
        <w:widowControl/>
        <w:spacing w:line="480" w:lineRule="auto"/>
        <w:rPr>
          <w:rFonts w:ascii="宋体" w:hAnsi="宋体" w:eastAsia="宋体" w:cs="宋体"/>
          <w:sz w:val="24"/>
        </w:rPr>
      </w:pPr>
      <w:r>
        <w:rPr>
          <w:rFonts w:hint="eastAsia" w:ascii="宋体" w:hAnsi="宋体" w:eastAsia="宋体" w:cs="宋体"/>
          <w:color w:val="000000"/>
          <w:kern w:val="0"/>
          <w:sz w:val="28"/>
          <w:szCs w:val="28"/>
          <w:lang w:val="en-US" w:eastAsia="zh-CN"/>
        </w:rPr>
        <w:t>一、</w:t>
      </w:r>
      <w:r>
        <w:rPr>
          <w:rFonts w:hint="eastAsia" w:ascii="宋体" w:hAnsi="宋体" w:eastAsia="宋体" w:cs="宋体"/>
          <w:color w:val="000000"/>
          <w:kern w:val="0"/>
          <w:sz w:val="28"/>
          <w:szCs w:val="28"/>
        </w:rPr>
        <w:t>技术参数：</w:t>
      </w:r>
      <w:r>
        <w:rPr>
          <w:rFonts w:ascii="宋体" w:hAnsi="宋体" w:eastAsia="宋体" w:cs="宋体"/>
          <w:sz w:val="24"/>
        </w:rPr>
        <w:t xml:space="preserve"> </w:t>
      </w:r>
    </w:p>
    <w:p w14:paraId="665A6C5D">
      <w:pPr>
        <w:pStyle w:val="4"/>
        <w:numPr>
          <w:ilvl w:val="0"/>
          <w:numId w:val="2"/>
        </w:numPr>
      </w:pPr>
      <w:r>
        <w:rPr>
          <w:rFonts w:hint="eastAsia"/>
        </w:rPr>
        <w:t>仪器结构： 完成细菌内毒素/真菌葡聚糖检测项目的检测。</w:t>
      </w:r>
    </w:p>
    <w:p w14:paraId="35FC1CDA">
      <w:pPr>
        <w:pStyle w:val="4"/>
        <w:numPr>
          <w:ilvl w:val="0"/>
          <w:numId w:val="2"/>
        </w:numPr>
      </w:pPr>
      <w:r>
        <w:rPr>
          <w:rFonts w:hint="eastAsia"/>
        </w:rPr>
        <w:t>检测位：至少可同时进行12个测试，且在有空余位的情况下，可做到随到随检。</w:t>
      </w:r>
    </w:p>
    <w:p w14:paraId="23EBB4B5">
      <w:pPr>
        <w:pStyle w:val="4"/>
        <w:numPr>
          <w:ilvl w:val="0"/>
          <w:numId w:val="2"/>
        </w:numPr>
      </w:pPr>
      <w:r>
        <w:rPr>
          <w:rFonts w:hint="eastAsia"/>
        </w:rPr>
        <w:t>应用范围：细菌内毒素/真菌葡聚糖检测项目，检测时间在60min以内。</w:t>
      </w:r>
    </w:p>
    <w:p w14:paraId="44495859">
      <w:pPr>
        <w:pStyle w:val="4"/>
        <w:numPr>
          <w:ilvl w:val="0"/>
          <w:numId w:val="2"/>
        </w:numPr>
      </w:pPr>
      <w:r>
        <w:rPr>
          <w:rFonts w:hint="eastAsia"/>
        </w:rPr>
        <w:t>软件：中文操作系统，可与医院 LIS 系统连接。</w:t>
      </w:r>
    </w:p>
    <w:p w14:paraId="62BC4EF6">
      <w:pPr>
        <w:pStyle w:val="4"/>
        <w:numPr>
          <w:ilvl w:val="0"/>
          <w:numId w:val="2"/>
        </w:numPr>
      </w:pPr>
      <w:r>
        <w:rPr>
          <w:rFonts w:hint="eastAsia"/>
        </w:rPr>
        <w:t>尺寸：长≤700mm；宽≤700mm；高≤700mm</w:t>
      </w:r>
    </w:p>
    <w:p w14:paraId="200E8009">
      <w:pPr>
        <w:pStyle w:val="4"/>
        <w:numPr>
          <w:ilvl w:val="0"/>
          <w:numId w:val="2"/>
        </w:numPr>
      </w:pPr>
      <w:r>
        <w:rPr>
          <w:rFonts w:hint="eastAsia"/>
        </w:rPr>
        <w:t>试剂规格≤12人份/每盒</w:t>
      </w:r>
    </w:p>
    <w:p w14:paraId="10D53E7D">
      <w:pPr>
        <w:pStyle w:val="4"/>
        <w:numPr>
          <w:ilvl w:val="0"/>
          <w:numId w:val="2"/>
        </w:numPr>
      </w:pPr>
      <w:r>
        <w:rPr>
          <w:rFonts w:hint="eastAsia"/>
        </w:rPr>
        <w:t>试剂为一人一检。</w:t>
      </w:r>
    </w:p>
    <w:p w14:paraId="78E952E0">
      <w:pPr>
        <w:pStyle w:val="4"/>
        <w:numPr>
          <w:ilvl w:val="0"/>
          <w:numId w:val="2"/>
        </w:numPr>
        <w:rPr>
          <w:rFonts w:hint="eastAsia"/>
        </w:rPr>
      </w:pPr>
      <w:r>
        <w:rPr>
          <w:rFonts w:hint="eastAsia"/>
        </w:rPr>
        <w:t>设备使用有效期不少于10年</w:t>
      </w:r>
      <w:bookmarkStart w:id="0" w:name="_GoBack"/>
      <w:bookmarkEnd w:id="0"/>
    </w:p>
    <w:p w14:paraId="78A70437">
      <w:pPr>
        <w:widowControl/>
        <w:spacing w:line="360" w:lineRule="auto"/>
        <w:rPr>
          <w:rFonts w:ascii="宋体" w:hAnsi="宋体" w:eastAsia="宋体" w:cs="宋体"/>
          <w:kern w:val="0"/>
          <w:sz w:val="28"/>
          <w:szCs w:val="28"/>
        </w:rPr>
      </w:pPr>
      <w:r>
        <w:rPr>
          <w:rFonts w:hint="eastAsia" w:ascii="宋体" w:hAnsi="宋体" w:eastAsia="宋体" w:cs="宋体"/>
          <w:kern w:val="0"/>
          <w:sz w:val="28"/>
          <w:szCs w:val="28"/>
          <w:lang w:val="en-US" w:eastAsia="zh-CN"/>
        </w:rPr>
        <w:t>二、</w:t>
      </w:r>
      <w:r>
        <w:rPr>
          <w:rFonts w:hint="eastAsia" w:ascii="宋体" w:hAnsi="宋体" w:eastAsia="宋体" w:cs="宋体"/>
          <w:kern w:val="0"/>
          <w:sz w:val="28"/>
          <w:szCs w:val="28"/>
        </w:rPr>
        <w:t>配置</w:t>
      </w:r>
      <w:r>
        <w:rPr>
          <w:rFonts w:hint="eastAsia" w:ascii="宋体" w:hAnsi="宋体" w:eastAsia="宋体" w:cs="宋体"/>
          <w:kern w:val="0"/>
          <w:sz w:val="28"/>
          <w:szCs w:val="28"/>
          <w:lang w:val="en-US" w:eastAsia="zh-CN"/>
        </w:rPr>
        <w:t>清单</w:t>
      </w:r>
      <w:r>
        <w:rPr>
          <w:rFonts w:hint="eastAsia" w:ascii="宋体" w:hAnsi="宋体" w:eastAsia="宋体" w:cs="宋体"/>
          <w:kern w:val="0"/>
          <w:sz w:val="28"/>
          <w:szCs w:val="28"/>
        </w:rPr>
        <w:t>：</w:t>
      </w:r>
    </w:p>
    <w:p w14:paraId="3A59BB06">
      <w:pPr>
        <w:pStyle w:val="4"/>
      </w:pPr>
      <w:r>
        <w:t xml:space="preserve">主机                       </w:t>
      </w:r>
      <w:r>
        <w:tab/>
      </w:r>
      <w:r>
        <w:t>1台</w:t>
      </w:r>
    </w:p>
    <w:p w14:paraId="64C8A4F6">
      <w:pPr>
        <w:pStyle w:val="4"/>
      </w:pPr>
      <w:r>
        <w:rPr>
          <w:rFonts w:hint="eastAsia"/>
        </w:rPr>
        <w:t>中文操作系统</w:t>
      </w:r>
      <w:r>
        <w:tab/>
      </w:r>
      <w:r>
        <w:tab/>
      </w:r>
      <w:r>
        <w:tab/>
      </w:r>
      <w:r>
        <w:tab/>
      </w:r>
      <w:r>
        <w:tab/>
      </w:r>
      <w:r>
        <w:rPr>
          <w:rFonts w:hint="eastAsia"/>
        </w:rPr>
        <w:t>1套</w:t>
      </w:r>
    </w:p>
    <w:p w14:paraId="70DD6046">
      <w:pPr>
        <w:pStyle w:val="4"/>
      </w:pPr>
      <w:r>
        <w:rPr>
          <w:rFonts w:hint="eastAsia"/>
        </w:rPr>
        <w:t>细菌内毒素试剂盒</w:t>
      </w:r>
      <w:r>
        <w:tab/>
      </w:r>
      <w:r>
        <w:tab/>
      </w:r>
      <w:r>
        <w:tab/>
      </w:r>
      <w:r>
        <w:tab/>
      </w:r>
      <w:r>
        <w:rPr>
          <w:rFonts w:hint="eastAsia"/>
        </w:rPr>
        <w:t>至少50人份</w:t>
      </w:r>
    </w:p>
    <w:p w14:paraId="785BB28A">
      <w:pPr>
        <w:pStyle w:val="4"/>
      </w:pPr>
      <w:r>
        <w:rPr>
          <w:rFonts w:hint="eastAsia"/>
        </w:rPr>
        <w:t>真菌葡聚糖检测试剂盒</w:t>
      </w:r>
      <w:r>
        <w:tab/>
      </w:r>
      <w:r>
        <w:tab/>
      </w:r>
      <w:r>
        <w:tab/>
      </w:r>
      <w:r>
        <w:rPr>
          <w:rFonts w:hint="eastAsia"/>
        </w:rPr>
        <w:t>至少50人份</w:t>
      </w:r>
    </w:p>
    <w:p w14:paraId="75698569">
      <w:pPr>
        <w:pStyle w:val="4"/>
      </w:pPr>
      <w:r>
        <w:rPr>
          <w:rFonts w:hint="eastAsia"/>
        </w:rPr>
        <w:t>单道移液器</w:t>
      </w:r>
    </w:p>
    <w:p w14:paraId="310EFC23">
      <w:pPr>
        <w:pStyle w:val="4"/>
        <w:numPr>
          <w:ilvl w:val="1"/>
          <w:numId w:val="1"/>
        </w:numPr>
        <w:spacing w:line="360" w:lineRule="auto"/>
      </w:pPr>
      <w:r>
        <w:rPr>
          <w:rFonts w:hint="eastAsia"/>
        </w:rPr>
        <w:t>0.1-2</w:t>
      </w:r>
      <w:r>
        <w:rPr>
          <w:rFonts w:ascii="Arial" w:hAnsi="Arial" w:cs="Arial"/>
          <w:sz w:val="20"/>
          <w:szCs w:val="20"/>
          <w:shd w:val="clear" w:color="auto" w:fill="FFFFFF"/>
        </w:rPr>
        <w:t>μL</w:t>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hint="eastAsia" w:ascii="Arial" w:hAnsi="Arial" w:cs="Arial"/>
          <w:sz w:val="20"/>
          <w:szCs w:val="20"/>
          <w:shd w:val="clear" w:color="auto" w:fill="FFFFFF"/>
        </w:rPr>
        <w:t>1支</w:t>
      </w:r>
    </w:p>
    <w:p w14:paraId="1F635D64">
      <w:pPr>
        <w:pStyle w:val="4"/>
        <w:numPr>
          <w:ilvl w:val="1"/>
          <w:numId w:val="1"/>
        </w:numPr>
        <w:spacing w:line="360" w:lineRule="auto"/>
      </w:pPr>
      <w:r>
        <w:rPr>
          <w:rFonts w:hint="eastAsia"/>
        </w:rPr>
        <w:t>0.5-10</w:t>
      </w:r>
      <w:r>
        <w:rPr>
          <w:rFonts w:ascii="Arial" w:hAnsi="Arial" w:cs="Arial"/>
          <w:sz w:val="20"/>
          <w:szCs w:val="20"/>
          <w:shd w:val="clear" w:color="auto" w:fill="FFFFFF"/>
        </w:rPr>
        <w:t>μL</w:t>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hint="eastAsia" w:ascii="Arial" w:hAnsi="Arial" w:cs="Arial"/>
          <w:sz w:val="20"/>
          <w:szCs w:val="20"/>
          <w:shd w:val="clear" w:color="auto" w:fill="FFFFFF"/>
        </w:rPr>
        <w:t>1支</w:t>
      </w:r>
    </w:p>
    <w:p w14:paraId="550912F4">
      <w:pPr>
        <w:pStyle w:val="4"/>
        <w:numPr>
          <w:ilvl w:val="1"/>
          <w:numId w:val="1"/>
        </w:numPr>
        <w:spacing w:line="360" w:lineRule="auto"/>
      </w:pPr>
      <w:r>
        <w:rPr>
          <w:rFonts w:hint="eastAsia"/>
        </w:rPr>
        <w:t>2-20</w:t>
      </w:r>
      <w:r>
        <w:rPr>
          <w:rFonts w:ascii="Arial" w:hAnsi="Arial" w:cs="Arial"/>
          <w:sz w:val="20"/>
          <w:szCs w:val="20"/>
          <w:shd w:val="clear" w:color="auto" w:fill="FFFFFF"/>
        </w:rPr>
        <w:t>μL</w:t>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hint="eastAsia" w:ascii="Arial" w:hAnsi="Arial" w:cs="Arial"/>
          <w:sz w:val="20"/>
          <w:szCs w:val="20"/>
          <w:shd w:val="clear" w:color="auto" w:fill="FFFFFF"/>
        </w:rPr>
        <w:t>1支</w:t>
      </w:r>
    </w:p>
    <w:p w14:paraId="77B4084A">
      <w:pPr>
        <w:pStyle w:val="4"/>
        <w:numPr>
          <w:ilvl w:val="1"/>
          <w:numId w:val="1"/>
        </w:numPr>
        <w:spacing w:line="360" w:lineRule="auto"/>
      </w:pPr>
      <w:r>
        <w:rPr>
          <w:rFonts w:hint="eastAsia"/>
        </w:rPr>
        <w:t>10-100</w:t>
      </w:r>
      <w:r>
        <w:rPr>
          <w:rFonts w:ascii="Arial" w:hAnsi="Arial" w:cs="Arial"/>
          <w:sz w:val="20"/>
          <w:szCs w:val="20"/>
          <w:shd w:val="clear" w:color="auto" w:fill="FFFFFF"/>
        </w:rPr>
        <w:t>μL</w:t>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hint="eastAsia" w:ascii="Arial" w:hAnsi="Arial" w:cs="Arial"/>
          <w:sz w:val="20"/>
          <w:szCs w:val="20"/>
          <w:shd w:val="clear" w:color="auto" w:fill="FFFFFF"/>
        </w:rPr>
        <w:t>1支</w:t>
      </w:r>
    </w:p>
    <w:p w14:paraId="349E4D10">
      <w:pPr>
        <w:pStyle w:val="4"/>
        <w:numPr>
          <w:ilvl w:val="1"/>
          <w:numId w:val="1"/>
        </w:numPr>
        <w:spacing w:line="360" w:lineRule="auto"/>
      </w:pPr>
      <w:r>
        <w:rPr>
          <w:rFonts w:hint="eastAsia"/>
        </w:rPr>
        <w:t>2-200</w:t>
      </w:r>
      <w:r>
        <w:rPr>
          <w:rFonts w:ascii="Arial" w:hAnsi="Arial" w:cs="Arial"/>
          <w:sz w:val="20"/>
          <w:szCs w:val="20"/>
          <w:shd w:val="clear" w:color="auto" w:fill="FFFFFF"/>
        </w:rPr>
        <w:t>μL</w:t>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hint="eastAsia" w:ascii="Arial" w:hAnsi="Arial" w:cs="Arial"/>
          <w:sz w:val="20"/>
          <w:szCs w:val="20"/>
          <w:shd w:val="clear" w:color="auto" w:fill="FFFFFF"/>
        </w:rPr>
        <w:t>1支</w:t>
      </w:r>
    </w:p>
    <w:p w14:paraId="7CE318D5">
      <w:pPr>
        <w:pStyle w:val="4"/>
        <w:numPr>
          <w:ilvl w:val="1"/>
          <w:numId w:val="1"/>
        </w:numPr>
        <w:spacing w:line="360" w:lineRule="auto"/>
      </w:pPr>
      <w:r>
        <w:rPr>
          <w:rFonts w:hint="eastAsia"/>
        </w:rPr>
        <w:t>100-1000</w:t>
      </w:r>
      <w:r>
        <w:rPr>
          <w:rFonts w:ascii="Arial" w:hAnsi="Arial" w:cs="Arial"/>
          <w:sz w:val="20"/>
          <w:szCs w:val="20"/>
          <w:shd w:val="clear" w:color="auto" w:fill="FFFFFF"/>
        </w:rPr>
        <w:t>μL</w:t>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hint="eastAsia" w:ascii="Arial" w:hAnsi="Arial" w:cs="Arial"/>
          <w:sz w:val="20"/>
          <w:szCs w:val="20"/>
          <w:shd w:val="clear" w:color="auto" w:fill="FFFFFF"/>
        </w:rPr>
        <w:t>1支</w:t>
      </w:r>
    </w:p>
    <w:p w14:paraId="20A79236">
      <w:pPr>
        <w:pStyle w:val="4"/>
      </w:pPr>
      <w:r>
        <w:rPr>
          <w:rFonts w:hint="eastAsia"/>
        </w:rPr>
        <w:t>八道移液器</w:t>
      </w:r>
    </w:p>
    <w:p w14:paraId="63B48706">
      <w:pPr>
        <w:pStyle w:val="4"/>
        <w:numPr>
          <w:ilvl w:val="1"/>
          <w:numId w:val="1"/>
        </w:numPr>
        <w:spacing w:line="360" w:lineRule="auto"/>
      </w:pPr>
      <w:r>
        <w:rPr>
          <w:rFonts w:hint="eastAsia"/>
        </w:rPr>
        <w:t>1-10</w:t>
      </w:r>
      <w:r>
        <w:rPr>
          <w:rFonts w:ascii="Arial" w:hAnsi="Arial" w:cs="Arial"/>
          <w:sz w:val="20"/>
          <w:szCs w:val="20"/>
          <w:shd w:val="clear" w:color="auto" w:fill="FFFFFF"/>
        </w:rPr>
        <w:t>μL</w:t>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hint="eastAsia" w:ascii="Arial" w:hAnsi="Arial" w:cs="Arial"/>
          <w:sz w:val="20"/>
          <w:szCs w:val="20"/>
          <w:shd w:val="clear" w:color="auto" w:fill="FFFFFF"/>
        </w:rPr>
        <w:t>1支</w:t>
      </w:r>
    </w:p>
    <w:p w14:paraId="1FACE53F">
      <w:pPr>
        <w:pStyle w:val="4"/>
        <w:numPr>
          <w:ilvl w:val="1"/>
          <w:numId w:val="1"/>
        </w:numPr>
        <w:spacing w:line="360" w:lineRule="auto"/>
      </w:pPr>
      <w:r>
        <w:rPr>
          <w:rFonts w:hint="eastAsia"/>
        </w:rPr>
        <w:t>5-50</w:t>
      </w:r>
      <w:r>
        <w:rPr>
          <w:rFonts w:ascii="Arial" w:hAnsi="Arial" w:cs="Arial"/>
          <w:sz w:val="20"/>
          <w:szCs w:val="20"/>
          <w:shd w:val="clear" w:color="auto" w:fill="FFFFFF"/>
        </w:rPr>
        <w:t>μL</w:t>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hint="eastAsia" w:ascii="Arial" w:hAnsi="Arial" w:cs="Arial"/>
          <w:sz w:val="20"/>
          <w:szCs w:val="20"/>
          <w:shd w:val="clear" w:color="auto" w:fill="FFFFFF"/>
        </w:rPr>
        <w:t>1支</w:t>
      </w:r>
    </w:p>
    <w:p w14:paraId="46E36339">
      <w:pPr>
        <w:pStyle w:val="4"/>
        <w:numPr>
          <w:ilvl w:val="1"/>
          <w:numId w:val="1"/>
        </w:numPr>
        <w:spacing w:line="360" w:lineRule="auto"/>
      </w:pPr>
      <w:r>
        <w:rPr>
          <w:rFonts w:hint="eastAsia"/>
        </w:rPr>
        <w:t>20-200</w:t>
      </w:r>
      <w:r>
        <w:rPr>
          <w:rFonts w:ascii="Arial" w:hAnsi="Arial" w:cs="Arial"/>
          <w:sz w:val="20"/>
          <w:szCs w:val="20"/>
          <w:shd w:val="clear" w:color="auto" w:fill="FFFFFF"/>
        </w:rPr>
        <w:t>μL</w:t>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hint="eastAsia" w:ascii="Arial" w:hAnsi="Arial" w:cs="Arial"/>
          <w:sz w:val="20"/>
          <w:szCs w:val="20"/>
          <w:shd w:val="clear" w:color="auto" w:fill="FFFFFF"/>
        </w:rPr>
        <w:t>1支</w:t>
      </w:r>
    </w:p>
    <w:p w14:paraId="17AAB2E0">
      <w:pPr>
        <w:pStyle w:val="4"/>
      </w:pPr>
      <w:r>
        <w:rPr>
          <w:rFonts w:hint="eastAsia"/>
        </w:rPr>
        <w:t>多管桌面混匀仪</w:t>
      </w:r>
      <w:r>
        <w:tab/>
      </w:r>
      <w:r>
        <w:tab/>
      </w:r>
      <w:r>
        <w:tab/>
      </w:r>
      <w:r>
        <w:tab/>
      </w:r>
      <w:r>
        <w:tab/>
      </w:r>
      <w:r>
        <w:rPr>
          <w:rFonts w:hint="eastAsia"/>
        </w:rPr>
        <w:t>1台</w:t>
      </w:r>
    </w:p>
    <w:p w14:paraId="3BAF8300">
      <w:pPr>
        <w:pStyle w:val="4"/>
      </w:pPr>
      <w:r>
        <w:rPr>
          <w:rFonts w:hint="eastAsia"/>
        </w:rPr>
        <w:t>复核转子离心机</w:t>
      </w:r>
      <w:r>
        <w:tab/>
      </w:r>
      <w:r>
        <w:tab/>
      </w:r>
      <w:r>
        <w:tab/>
      </w:r>
      <w:r>
        <w:tab/>
      </w:r>
      <w:r>
        <w:tab/>
      </w:r>
      <w:r>
        <w:rPr>
          <w:rFonts w:hint="eastAsia"/>
        </w:rPr>
        <w:t>1台</w:t>
      </w:r>
    </w:p>
    <w:p w14:paraId="5ED1B523">
      <w:pPr>
        <w:pStyle w:val="4"/>
      </w:pPr>
      <w:r>
        <w:rPr>
          <w:rFonts w:hint="eastAsia"/>
        </w:rPr>
        <w:t>恒温水浴锅</w:t>
      </w:r>
      <w:r>
        <w:tab/>
      </w:r>
      <w:r>
        <w:tab/>
      </w:r>
      <w:r>
        <w:tab/>
      </w:r>
      <w:r>
        <w:tab/>
      </w:r>
      <w:r>
        <w:tab/>
      </w:r>
      <w:r>
        <w:tab/>
      </w:r>
      <w:r>
        <w:rPr>
          <w:rFonts w:hint="eastAsia"/>
        </w:rPr>
        <w:t>1台</w:t>
      </w:r>
    </w:p>
    <w:p w14:paraId="32925D4A">
      <w:pPr>
        <w:pStyle w:val="4"/>
      </w:pPr>
      <w:r>
        <w:rPr>
          <w:rFonts w:hint="eastAsia"/>
        </w:rPr>
        <w:t>恒温孵育器</w:t>
      </w:r>
      <w:r>
        <w:tab/>
      </w:r>
      <w:r>
        <w:tab/>
      </w:r>
      <w:r>
        <w:tab/>
      </w:r>
      <w:r>
        <w:tab/>
      </w:r>
      <w:r>
        <w:tab/>
      </w:r>
      <w:r>
        <w:tab/>
      </w:r>
      <w:r>
        <w:rPr>
          <w:rFonts w:hint="eastAsia"/>
        </w:rPr>
        <w:t>1台</w:t>
      </w:r>
    </w:p>
    <w:p w14:paraId="6B57AEDC">
      <w:pPr>
        <w:pStyle w:val="4"/>
      </w:pPr>
      <w:r>
        <w:rPr>
          <w:rFonts w:hint="eastAsia"/>
        </w:rPr>
        <w:t>浅孔板磁力架</w:t>
      </w:r>
      <w:r>
        <w:tab/>
      </w:r>
      <w:r>
        <w:tab/>
      </w:r>
      <w:r>
        <w:tab/>
      </w:r>
      <w:r>
        <w:tab/>
      </w:r>
      <w:r>
        <w:tab/>
      </w:r>
      <w:r>
        <w:rPr>
          <w:rFonts w:hint="eastAsia"/>
        </w:rPr>
        <w:t>1套</w:t>
      </w:r>
    </w:p>
    <w:p w14:paraId="64AD47B5">
      <w:pPr>
        <w:pStyle w:val="4"/>
      </w:pPr>
      <w:r>
        <w:rPr>
          <w:rFonts w:hint="eastAsia"/>
        </w:rPr>
        <w:t>离心管磁力架</w:t>
      </w:r>
      <w:r>
        <w:tab/>
      </w:r>
      <w:r>
        <w:tab/>
      </w:r>
      <w:r>
        <w:tab/>
      </w:r>
      <w:r>
        <w:tab/>
      </w:r>
      <w:r>
        <w:tab/>
      </w:r>
      <w:r>
        <w:rPr>
          <w:rFonts w:hint="eastAsia"/>
        </w:rPr>
        <w:t>1套</w:t>
      </w:r>
    </w:p>
    <w:p w14:paraId="6E53496B">
      <w:pPr>
        <w:pStyle w:val="4"/>
        <w:bidi w:val="0"/>
        <w:ind w:left="440" w:leftChars="0" w:hanging="440" w:firstLineChars="0"/>
        <w:rPr>
          <w:rFonts w:hint="eastAsia"/>
          <w:lang w:val="en-US" w:eastAsia="zh-CN"/>
        </w:rPr>
      </w:pPr>
      <w:r>
        <w:rPr>
          <w:rFonts w:hint="eastAsia"/>
          <w:lang w:val="en-US" w:eastAsia="zh-CN"/>
        </w:rPr>
        <w:t>磁力架96孔（八排管）</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1套</w:t>
      </w:r>
    </w:p>
    <w:p w14:paraId="4FA86385">
      <w:pPr>
        <w:widowControl/>
        <w:spacing w:line="360" w:lineRule="auto"/>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三、</w:t>
      </w:r>
      <w:r>
        <w:rPr>
          <w:rFonts w:hint="eastAsia" w:ascii="宋体" w:hAnsi="宋体" w:eastAsia="宋体" w:cs="宋体"/>
          <w:color w:val="000000"/>
          <w:kern w:val="0"/>
          <w:sz w:val="28"/>
          <w:szCs w:val="28"/>
        </w:rPr>
        <w:t>质保售后：</w:t>
      </w:r>
    </w:p>
    <w:p w14:paraId="09FED064">
      <w:pPr>
        <w:pStyle w:val="4"/>
        <w:numPr>
          <w:ilvl w:val="0"/>
          <w:numId w:val="3"/>
        </w:numPr>
      </w:pPr>
      <w:r>
        <w:t>提供整机原厂保修</w:t>
      </w:r>
      <w:r>
        <w:rPr>
          <w:rFonts w:hint="eastAsia"/>
        </w:rPr>
        <w:t>≥</w:t>
      </w:r>
      <w:r>
        <w:t>3年，保修期从本设备在验收合格后开始计算；保修期内非因用户的人为原因而出现产品质量及安装问题，需负责保修、包换或包退，并需承担因此而产生的一切费用，质保期内质检费用由厂家提供；</w:t>
      </w:r>
    </w:p>
    <w:p w14:paraId="0F8D5576">
      <w:pPr>
        <w:pStyle w:val="4"/>
        <w:numPr>
          <w:ilvl w:val="0"/>
          <w:numId w:val="3"/>
        </w:numPr>
      </w:pPr>
      <w:r>
        <w:t>售后响应时间2小时内，24小时内到达地现场，48小时内解决问题，若未能及时修复故障时需提供等同设备替代以保证用户正常的医疗工作；</w:t>
      </w:r>
    </w:p>
    <w:p w14:paraId="3C144E22">
      <w:pPr>
        <w:pStyle w:val="4"/>
        <w:numPr>
          <w:ilvl w:val="0"/>
          <w:numId w:val="3"/>
        </w:numPr>
      </w:pPr>
      <w:r>
        <w:t>设备调试后，需免费对用户和维护人员进行现场培训，保证使用人员能够正确操作，使用设备的各种功能；</w:t>
      </w:r>
    </w:p>
    <w:p w14:paraId="72064604">
      <w:pPr>
        <w:pStyle w:val="4"/>
        <w:numPr>
          <w:ilvl w:val="0"/>
          <w:numId w:val="3"/>
        </w:numPr>
      </w:pPr>
      <w:r>
        <w:t>日常使用期间，即使无故障，厂方也能定期做机器的常规检查和整机保养，检测运行状态，及时发现隐患，使设备处于最佳使用状态。</w:t>
      </w:r>
    </w:p>
    <w:p w14:paraId="75B8F538">
      <w:pPr>
        <w:pStyle w:val="4"/>
        <w:numPr>
          <w:ilvl w:val="0"/>
          <w:numId w:val="3"/>
        </w:numPr>
      </w:pPr>
      <w:r>
        <w:t>根据国家计量器具检定管理办法，如属计量检定设备乙方需提供计量检定机构出具的有效校准证书。</w:t>
      </w:r>
    </w:p>
    <w:p w14:paraId="53A46997">
      <w:pPr>
        <w:pStyle w:val="4"/>
        <w:numPr>
          <w:ilvl w:val="0"/>
          <w:numId w:val="3"/>
        </w:numPr>
      </w:pPr>
      <w:r>
        <w:t>承担连接医院现有信息端口费用。</w:t>
      </w:r>
    </w:p>
    <w:p w14:paraId="6573B69F">
      <w:pPr>
        <w:pStyle w:val="4"/>
        <w:numPr>
          <w:ilvl w:val="0"/>
          <w:numId w:val="3"/>
        </w:numPr>
      </w:pPr>
      <w:r>
        <w:t>货物及其配件为原厂商未启封全新包装，具出厂合格证，序列号、包箱号与出批号一致，并可追溯查阅。乙方应向甲方提供本合同所涉货物合法来源的证明。</w:t>
      </w:r>
    </w:p>
    <w:p w14:paraId="770D1910">
      <w:pPr>
        <w:pStyle w:val="4"/>
        <w:numPr>
          <w:ilvl w:val="0"/>
          <w:numId w:val="3"/>
        </w:numPr>
        <w:bidi w:val="0"/>
        <w:ind w:left="420" w:leftChars="0" w:hanging="420" w:firstLineChars="0"/>
      </w:pPr>
      <w:r>
        <w:t>国产产品出厂日期距合同签订日期须在六个月内，进口产品出厂日期距合同签订日期须在十二个月内，否则甲方有权拒收并令乙方按要求进行更换，乙方承担进行更换的所有费用，未按时更换产生的一切责任由乙方承担。</w:t>
      </w:r>
    </w:p>
    <w:p w14:paraId="647BBBEE">
      <w:pPr>
        <w:widowControl/>
        <w:spacing w:line="360" w:lineRule="auto"/>
        <w:rPr>
          <w:rFonts w:ascii="宋体" w:hAnsi="宋体" w:eastAsia="宋体" w:cs="宋体"/>
          <w:sz w:val="18"/>
          <w:szCs w:val="18"/>
        </w:rPr>
      </w:pPr>
      <w:r>
        <w:rPr>
          <w:rFonts w:hint="eastAsia" w:ascii="宋体" w:hAnsi="宋体" w:eastAsia="宋体" w:cs="宋体"/>
          <w:color w:val="000000"/>
          <w:kern w:val="0"/>
          <w:sz w:val="28"/>
          <w:szCs w:val="28"/>
          <w:lang w:val="en-US" w:eastAsia="zh-CN"/>
        </w:rPr>
        <w:t>四、</w:t>
      </w:r>
      <w:r>
        <w:rPr>
          <w:rFonts w:hint="eastAsia" w:ascii="宋体" w:hAnsi="宋体" w:eastAsia="宋体" w:cs="宋体"/>
          <w:color w:val="000000"/>
          <w:kern w:val="0"/>
          <w:sz w:val="28"/>
          <w:szCs w:val="28"/>
        </w:rPr>
        <w:t>耗材情况：</w:t>
      </w:r>
    </w:p>
    <w:p w14:paraId="79E57E29">
      <w:pPr>
        <w:spacing w:line="360" w:lineRule="auto"/>
        <w:ind w:firstLine="480" w:firstLineChars="200"/>
      </w:pPr>
      <w:r>
        <w:rPr>
          <w:rFonts w:hint="eastAsia" w:ascii="宋体" w:hAnsi="宋体" w:eastAsia="宋体" w:cs="宋体"/>
          <w:sz w:val="24"/>
          <w:szCs w:val="21"/>
        </w:rPr>
        <w:t>配套耗材需在广东省药品电子交易平台的从耗材挂网创建区内挂牌；若配套耗材不在该区域内，需在合同签订后14天内由中标公司完成该耗材的备案工作，否则将延期验收设备。</w:t>
      </w:r>
      <w:r>
        <w:t xml:space="preserve"> </w:t>
      </w:r>
    </w:p>
    <w:p w14:paraId="30B5293B">
      <w:pPr>
        <w:pStyle w:val="4"/>
        <w:numPr>
          <w:ilvl w:val="0"/>
          <w:numId w:val="0"/>
        </w:numPr>
        <w:bidi w:val="0"/>
        <w:ind w:left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86EF0"/>
    <w:multiLevelType w:val="multilevel"/>
    <w:tmpl w:val="0C886EF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79F3CB9"/>
    <w:multiLevelType w:val="multilevel"/>
    <w:tmpl w:val="279F3CB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331356"/>
    <w:multiLevelType w:val="multilevel"/>
    <w:tmpl w:val="48331356"/>
    <w:lvl w:ilvl="0" w:tentative="0">
      <w:start w:val="1"/>
      <w:numFmt w:val="decimal"/>
      <w:pStyle w:val="4"/>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6B49A0"/>
    <w:rsid w:val="73F92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autoRedefine/>
    <w:qFormat/>
    <w:uiPriority w:val="34"/>
    <w:pPr>
      <w:widowControl/>
      <w:numPr>
        <w:ilvl w:val="0"/>
        <w:numId w:val="1"/>
      </w:numPr>
      <w:tabs>
        <w:tab w:val="left" w:pos="312"/>
      </w:tabs>
      <w:spacing w:line="480" w:lineRule="auto"/>
      <w:contextualSpacing/>
      <w:jc w:val="left"/>
    </w:pPr>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900</Words>
  <Characters>984</Characters>
  <Lines>0</Lines>
  <Paragraphs>0</Paragraphs>
  <TotalTime>2</TotalTime>
  <ScaleCrop>false</ScaleCrop>
  <LinksUpToDate>false</LinksUpToDate>
  <CharactersWithSpaces>1101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2024-11-11T01:59:00Z</dcterms:created>
  <dc:creator>Administrator</dc:creator>
  <cp:lastModifiedBy>Administrator</cp:lastModifiedBy>
  <dcterms:modified xsi:type="dcterms:W3CDTF">2024-11-11T02:21:03Z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1A580FBBB7F44039BFE041A154ABCFC9_12</vt:lpwstr>
  </property>
</Properties>
</file>