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sz w:val="48"/>
          <w:szCs w:val="48"/>
        </w:rPr>
      </w:pPr>
      <w:r>
        <w:rPr>
          <w:rFonts w:hint="eastAsia" w:ascii="黑体" w:hAnsi="黑体" w:eastAsia="黑体"/>
          <w:b/>
          <w:sz w:val="48"/>
          <w:szCs w:val="48"/>
        </w:rPr>
        <w:t>用户需求书</w:t>
      </w:r>
    </w:p>
    <w:p>
      <w:pPr>
        <w:jc w:val="center"/>
        <w:rPr>
          <w:rFonts w:ascii="仿宋" w:hAnsi="仿宋" w:eastAsia="仿宋"/>
          <w:szCs w:val="21"/>
        </w:rPr>
      </w:pPr>
      <w:r>
        <w:rPr>
          <w:rFonts w:hint="eastAsia" w:ascii="仿宋" w:hAnsi="仿宋" w:eastAsia="仿宋"/>
          <w:b/>
          <w:szCs w:val="21"/>
        </w:rPr>
        <w:t>珠海市中西医结合医院医保智能审核软件</w:t>
      </w:r>
    </w:p>
    <w:p>
      <w:pPr>
        <w:rPr>
          <w:rFonts w:ascii="仿宋" w:hAnsi="仿宋" w:eastAsia="仿宋" w:cs="宋体"/>
        </w:rPr>
      </w:pPr>
    </w:p>
    <w:p>
      <w:pPr>
        <w:rPr>
          <w:rFonts w:hint="eastAsia" w:ascii="黑体" w:hAnsi="黑体" w:eastAsia="黑体" w:cs="宋体"/>
          <w:b/>
          <w:sz w:val="24"/>
          <w:szCs w:val="24"/>
        </w:rPr>
      </w:pPr>
    </w:p>
    <w:p>
      <w:pPr>
        <w:rPr>
          <w:rFonts w:ascii="黑体" w:hAnsi="黑体" w:eastAsia="黑体" w:cs="宋体"/>
          <w:b/>
          <w:sz w:val="24"/>
          <w:szCs w:val="24"/>
        </w:rPr>
      </w:pPr>
      <w:r>
        <w:rPr>
          <w:rFonts w:hint="eastAsia" w:ascii="黑体" w:hAnsi="黑体" w:eastAsia="黑体" w:cs="宋体"/>
          <w:b/>
          <w:sz w:val="24"/>
          <w:szCs w:val="24"/>
        </w:rPr>
        <w:t>一、招标概况</w:t>
      </w:r>
    </w:p>
    <w:p>
      <w:pPr>
        <w:ind w:firstLine="420"/>
        <w:rPr>
          <w:rFonts w:ascii="仿宋" w:hAnsi="仿宋" w:eastAsia="仿宋" w:cs="宋体"/>
          <w:szCs w:val="21"/>
        </w:rPr>
      </w:pPr>
    </w:p>
    <w:p>
      <w:pPr>
        <w:ind w:firstLine="420"/>
        <w:rPr>
          <w:rFonts w:ascii="仿宋" w:hAnsi="仿宋" w:eastAsia="仿宋" w:cs="宋体"/>
          <w:szCs w:val="21"/>
        </w:rPr>
      </w:pPr>
      <w:r>
        <w:rPr>
          <w:rFonts w:hint="eastAsia" w:ascii="仿宋" w:hAnsi="仿宋" w:eastAsia="仿宋" w:cs="宋体"/>
          <w:szCs w:val="21"/>
        </w:rPr>
        <w:t>1.项目名称：</w:t>
      </w:r>
      <w:r>
        <w:rPr>
          <w:rFonts w:hint="eastAsia" w:ascii="仿宋" w:hAnsi="仿宋" w:eastAsia="仿宋"/>
        </w:rPr>
        <w:t>珠海市中西医结合医院医保智能审核软件</w:t>
      </w:r>
    </w:p>
    <w:p>
      <w:pPr>
        <w:rPr>
          <w:rFonts w:ascii="仿宋" w:hAnsi="仿宋" w:eastAsia="仿宋" w:cs="宋体"/>
          <w:sz w:val="24"/>
        </w:rPr>
      </w:pPr>
    </w:p>
    <w:p>
      <w:pPr>
        <w:rPr>
          <w:rFonts w:ascii="黑体" w:hAnsi="黑体" w:eastAsia="黑体"/>
          <w:b/>
          <w:sz w:val="24"/>
          <w:szCs w:val="24"/>
        </w:rPr>
      </w:pPr>
      <w:r>
        <w:rPr>
          <w:rFonts w:hint="eastAsia" w:ascii="黑体" w:hAnsi="黑体" w:eastAsia="黑体"/>
          <w:b/>
          <w:sz w:val="24"/>
          <w:szCs w:val="24"/>
        </w:rPr>
        <w:t>二、投标人资质要求</w:t>
      </w:r>
    </w:p>
    <w:p>
      <w:pPr>
        <w:rPr>
          <w:rFonts w:ascii="仿宋" w:hAnsi="仿宋" w:eastAsia="仿宋"/>
          <w:szCs w:val="21"/>
        </w:rPr>
      </w:pPr>
    </w:p>
    <w:p>
      <w:pPr>
        <w:numPr>
          <w:ilvl w:val="0"/>
          <w:numId w:val="1"/>
        </w:numPr>
        <w:ind w:left="425" w:hanging="425"/>
        <w:rPr>
          <w:rFonts w:ascii="仿宋" w:hAnsi="仿宋" w:eastAsia="仿宋" w:cs="宋体"/>
          <w:szCs w:val="21"/>
        </w:rPr>
      </w:pPr>
      <w:r>
        <w:rPr>
          <w:rFonts w:hint="eastAsia" w:ascii="仿宋" w:hAnsi="仿宋" w:eastAsia="仿宋" w:cs="宋体"/>
          <w:szCs w:val="21"/>
        </w:rPr>
        <w:t>投标人具备独立承担民事责任能力的且在中华人民共和国境内注册的企业法人或其他组织，需提交企业法人营业执照副本复印件（加盖公章）、法人资格证明书/法人授权委托书。</w:t>
      </w:r>
    </w:p>
    <w:p>
      <w:pPr>
        <w:numPr>
          <w:ilvl w:val="0"/>
          <w:numId w:val="1"/>
        </w:numPr>
        <w:ind w:left="425" w:hanging="425"/>
        <w:rPr>
          <w:rFonts w:ascii="仿宋" w:hAnsi="仿宋" w:eastAsia="仿宋" w:cs="宋体"/>
          <w:szCs w:val="21"/>
        </w:rPr>
      </w:pPr>
      <w:r>
        <w:rPr>
          <w:rFonts w:hint="eastAsia" w:ascii="仿宋" w:hAnsi="仿宋" w:eastAsia="仿宋" w:cs="宋体"/>
          <w:szCs w:val="21"/>
        </w:rPr>
        <w:t>投标人在“信用中国”（www.creditchina.gov.cn）、“中国政府采购网”（www.ccgp.gov.cn）没有被列入失信被执行人、重大税收违法案件当事人名单、政府采购严重违法失信行为记录名单（提供上述网站的信用记录查询结果打印或网页截图页面加盖投标人公章），工商注册地在珠海市的投标人还须同时提供“信用中国（广东珠海）”（http://credit.zhuhai.gov.cn/）的信用记录查询结果。</w:t>
      </w:r>
    </w:p>
    <w:p>
      <w:pPr>
        <w:numPr>
          <w:ilvl w:val="0"/>
          <w:numId w:val="1"/>
        </w:numPr>
        <w:ind w:left="425" w:hanging="425"/>
        <w:rPr>
          <w:rFonts w:ascii="仿宋" w:hAnsi="仿宋" w:eastAsia="仿宋" w:cs="宋体"/>
          <w:szCs w:val="21"/>
        </w:rPr>
      </w:pPr>
      <w:r>
        <w:rPr>
          <w:rFonts w:hint="eastAsia" w:ascii="仿宋" w:hAnsi="仿宋" w:eastAsia="仿宋" w:cs="宋体"/>
          <w:szCs w:val="21"/>
        </w:rPr>
        <w:t>投标单位负责人为同一人或者存在直接控股、管理关系的不同方，不得参加同一合同项下的采购活动并在投标文件中提供承诺。</w:t>
      </w:r>
    </w:p>
    <w:p>
      <w:pPr>
        <w:numPr>
          <w:ilvl w:val="0"/>
          <w:numId w:val="1"/>
        </w:numPr>
        <w:ind w:left="425" w:hanging="425"/>
        <w:rPr>
          <w:rFonts w:ascii="仿宋" w:hAnsi="仿宋" w:eastAsia="仿宋" w:cs="宋体"/>
          <w:szCs w:val="21"/>
        </w:rPr>
      </w:pPr>
      <w:r>
        <w:rPr>
          <w:rFonts w:hint="eastAsia" w:ascii="仿宋" w:hAnsi="仿宋" w:eastAsia="仿宋" w:cs="宋体"/>
          <w:szCs w:val="21"/>
        </w:rPr>
        <w:t>本项目不接受联合体投标，不允许分包、转包，不接受备选方案。</w:t>
      </w:r>
    </w:p>
    <w:p>
      <w:pPr>
        <w:numPr>
          <w:ilvl w:val="0"/>
          <w:numId w:val="1"/>
        </w:numPr>
        <w:ind w:left="425" w:hanging="425"/>
        <w:rPr>
          <w:rFonts w:ascii="仿宋" w:hAnsi="仿宋" w:eastAsia="仿宋" w:cs="宋体"/>
          <w:szCs w:val="21"/>
        </w:rPr>
      </w:pPr>
      <w:r>
        <w:rPr>
          <w:rFonts w:hint="eastAsia" w:ascii="仿宋" w:hAnsi="仿宋" w:eastAsia="仿宋" w:cs="宋体"/>
          <w:szCs w:val="21"/>
        </w:rPr>
        <w:t>前期为本采购项目提供整体设计、规范编制或者项目管理、监理、检测等服务的供应商，不得参加本次采购活动（要求投标人在投标文件中提供承诺）。</w:t>
      </w:r>
    </w:p>
    <w:p>
      <w:pPr>
        <w:ind w:left="420"/>
        <w:rPr>
          <w:rFonts w:ascii="仿宋" w:hAnsi="仿宋" w:eastAsia="仿宋" w:cs="宋体"/>
          <w:szCs w:val="21"/>
        </w:rPr>
      </w:pPr>
    </w:p>
    <w:p>
      <w:pPr>
        <w:pStyle w:val="3"/>
        <w:ind w:firstLine="240" w:firstLineChars="100"/>
        <w:rPr>
          <w:rFonts w:ascii="黑体" w:hAnsi="黑体" w:eastAsia="黑体" w:cs="宋体"/>
          <w:sz w:val="24"/>
        </w:rPr>
      </w:pPr>
    </w:p>
    <w:p>
      <w:pPr>
        <w:rPr>
          <w:rFonts w:ascii="黑体" w:hAnsi="黑体" w:eastAsia="黑体"/>
          <w:b/>
          <w:sz w:val="24"/>
          <w:szCs w:val="24"/>
        </w:rPr>
      </w:pPr>
      <w:r>
        <w:rPr>
          <w:rFonts w:hint="eastAsia" w:ascii="黑体" w:hAnsi="黑体" w:eastAsia="黑体"/>
          <w:b/>
          <w:sz w:val="24"/>
          <w:szCs w:val="24"/>
        </w:rPr>
        <w:t>三、 项目</w:t>
      </w:r>
      <w:bookmarkStart w:id="0" w:name="_Toc510095284"/>
      <w:bookmarkStart w:id="1" w:name="_Toc502845064"/>
      <w:r>
        <w:rPr>
          <w:rFonts w:hint="eastAsia" w:ascii="黑体" w:hAnsi="黑体" w:eastAsia="黑体"/>
          <w:b/>
          <w:sz w:val="24"/>
          <w:szCs w:val="24"/>
        </w:rPr>
        <w:t>需求</w:t>
      </w:r>
    </w:p>
    <w:bookmarkEnd w:id="0"/>
    <w:bookmarkEnd w:id="1"/>
    <w:p>
      <w:pPr>
        <w:spacing w:line="20" w:lineRule="exact"/>
        <w:ind w:left="1129"/>
        <w:rPr>
          <w:rFonts w:ascii="仿宋" w:hAnsi="仿宋" w:eastAsia="仿宋" w:cs="宋体"/>
          <w:bCs/>
        </w:rPr>
      </w:pPr>
    </w:p>
    <w:p>
      <w:pPr>
        <w:pStyle w:val="6"/>
        <w:tabs>
          <w:tab w:val="left" w:pos="720"/>
        </w:tabs>
        <w:autoSpaceDE w:val="0"/>
        <w:autoSpaceDN w:val="0"/>
        <w:adjustRightInd w:val="0"/>
        <w:spacing w:line="360" w:lineRule="auto"/>
        <w:ind w:right="17" w:firstLine="482"/>
        <w:outlineLvl w:val="1"/>
        <w:rPr>
          <w:rFonts w:hint="eastAsia" w:ascii="仿宋" w:hAnsi="仿宋" w:eastAsia="仿宋" w:cs="仿宋"/>
        </w:rPr>
      </w:pPr>
      <w:r>
        <w:rPr>
          <w:rFonts w:hint="eastAsia" w:ascii="仿宋" w:hAnsi="仿宋" w:eastAsia="仿宋" w:cs="仿宋"/>
        </w:rPr>
        <w:t>1、软件功能要求：</w:t>
      </w:r>
    </w:p>
    <w:p>
      <w:pPr>
        <w:pStyle w:val="6"/>
        <w:tabs>
          <w:tab w:val="left" w:pos="720"/>
        </w:tabs>
        <w:autoSpaceDE w:val="0"/>
        <w:autoSpaceDN w:val="0"/>
        <w:adjustRightInd w:val="0"/>
        <w:spacing w:line="360" w:lineRule="auto"/>
        <w:ind w:right="17" w:firstLine="482"/>
        <w:outlineLvl w:val="1"/>
        <w:rPr>
          <w:rFonts w:hint="eastAsia" w:ascii="仿宋" w:hAnsi="仿宋" w:eastAsia="仿宋" w:cs="仿宋"/>
        </w:rPr>
      </w:pPr>
      <w:r>
        <w:rPr>
          <w:rFonts w:hint="eastAsia" w:ascii="仿宋" w:hAnsi="仿宋" w:eastAsia="仿宋" w:cs="仿宋"/>
        </w:rPr>
        <w:tab/>
      </w:r>
      <w:r>
        <w:rPr>
          <w:rFonts w:hint="eastAsia" w:ascii="仿宋" w:hAnsi="仿宋" w:eastAsia="仿宋" w:cs="仿宋"/>
        </w:rPr>
        <w:t>【根据事前规划、事中管控、事后管理进行干预和管控,并提供清晰明了的软件全流程思维导图，满足自定义审核规则类型，加强医嘱漏收费、加收项目、医嘱与收费数量、医疗服务项目之间的关联性、医疗服务与材料的关联性、重复收费、手术相关费用、医疗服务项目一般规范性等医保方面相关的管控能力】</w:t>
      </w:r>
    </w:p>
    <w:p>
      <w:pPr>
        <w:pStyle w:val="6"/>
        <w:tabs>
          <w:tab w:val="left" w:pos="720"/>
        </w:tabs>
        <w:autoSpaceDE w:val="0"/>
        <w:autoSpaceDN w:val="0"/>
        <w:adjustRightInd w:val="0"/>
        <w:spacing w:line="360" w:lineRule="auto"/>
        <w:ind w:right="17" w:firstLine="482"/>
        <w:outlineLvl w:val="1"/>
        <w:rPr>
          <w:rFonts w:hint="eastAsia" w:ascii="仿宋" w:hAnsi="仿宋" w:eastAsia="仿宋" w:cs="仿宋"/>
          <w:b/>
        </w:rPr>
      </w:pPr>
      <w:r>
        <w:rPr>
          <w:rFonts w:hint="eastAsia" w:ascii="仿宋" w:hAnsi="仿宋" w:eastAsia="仿宋" w:cs="仿宋"/>
          <w:b/>
        </w:rPr>
        <w:t>事前规划：</w:t>
      </w:r>
    </w:p>
    <w:p>
      <w:pPr>
        <w:pStyle w:val="7"/>
        <w:numPr>
          <w:ilvl w:val="0"/>
          <w:numId w:val="2"/>
        </w:numPr>
        <w:spacing w:line="360" w:lineRule="auto"/>
        <w:ind w:left="0" w:leftChars="0"/>
        <w:rPr>
          <w:rFonts w:ascii="仿宋" w:hAnsi="仿宋" w:eastAsia="仿宋"/>
        </w:rPr>
      </w:pPr>
      <w:r>
        <w:rPr>
          <w:rFonts w:hint="eastAsia" w:ascii="仿宋" w:hAnsi="仿宋" w:eastAsia="仿宋"/>
        </w:rPr>
        <w:t>待办事项提醒：</w:t>
      </w:r>
    </w:p>
    <w:p>
      <w:pPr>
        <w:pStyle w:val="7"/>
        <w:numPr>
          <w:ilvl w:val="0"/>
          <w:numId w:val="3"/>
        </w:numPr>
        <w:spacing w:line="360" w:lineRule="auto"/>
        <w:rPr>
          <w:rFonts w:ascii="仿宋" w:hAnsi="仿宋" w:eastAsia="仿宋"/>
        </w:rPr>
      </w:pPr>
      <w:r>
        <w:rPr>
          <w:rFonts w:hint="eastAsia" w:ascii="仿宋" w:hAnsi="仿宋" w:eastAsia="仿宋"/>
        </w:rPr>
        <w:t>系统根据医保规则自动识别发现的异常就诊预警（重复住院、低标入院）；</w:t>
      </w:r>
    </w:p>
    <w:p>
      <w:pPr>
        <w:pStyle w:val="7"/>
        <w:numPr>
          <w:ilvl w:val="0"/>
          <w:numId w:val="3"/>
        </w:numPr>
        <w:spacing w:line="360" w:lineRule="auto"/>
        <w:rPr>
          <w:rFonts w:ascii="仿宋" w:hAnsi="仿宋" w:eastAsia="仿宋"/>
        </w:rPr>
      </w:pPr>
      <w:r>
        <w:rPr>
          <w:rFonts w:hint="eastAsia" w:ascii="仿宋" w:hAnsi="仿宋" w:eastAsia="仿宋"/>
        </w:rPr>
        <w:t>系统根据医保规则识别医师所开医嘱的违规预警（智能审核规则库）；</w:t>
      </w:r>
    </w:p>
    <w:p>
      <w:pPr>
        <w:pStyle w:val="7"/>
        <w:numPr>
          <w:ilvl w:val="0"/>
          <w:numId w:val="3"/>
        </w:numPr>
        <w:spacing w:line="360" w:lineRule="auto"/>
        <w:rPr>
          <w:rFonts w:ascii="仿宋" w:hAnsi="仿宋" w:eastAsia="仿宋"/>
        </w:rPr>
      </w:pPr>
      <w:r>
        <w:rPr>
          <w:rFonts w:hint="eastAsia" w:ascii="仿宋" w:hAnsi="仿宋" w:eastAsia="仿宋"/>
        </w:rPr>
        <w:t>对收费明细有异常的预警提醒；</w:t>
      </w:r>
    </w:p>
    <w:p>
      <w:pPr>
        <w:pStyle w:val="7"/>
        <w:numPr>
          <w:ilvl w:val="0"/>
          <w:numId w:val="2"/>
        </w:numPr>
        <w:spacing w:line="360" w:lineRule="auto"/>
        <w:ind w:left="0" w:leftChars="0"/>
        <w:rPr>
          <w:rFonts w:ascii="仿宋" w:hAnsi="仿宋" w:eastAsia="仿宋"/>
        </w:rPr>
      </w:pPr>
      <w:r>
        <w:rPr>
          <w:rFonts w:hint="eastAsia" w:ascii="仿宋" w:hAnsi="仿宋" w:eastAsia="仿宋"/>
        </w:rPr>
        <w:t>全院概况：对接his系统，可链接到具体病历</w:t>
      </w:r>
    </w:p>
    <w:p>
      <w:pPr>
        <w:pStyle w:val="7"/>
        <w:numPr>
          <w:ilvl w:val="0"/>
          <w:numId w:val="4"/>
        </w:numPr>
        <w:spacing w:line="360" w:lineRule="auto"/>
        <w:ind w:left="420" w:firstLine="420"/>
        <w:rPr>
          <w:rFonts w:ascii="仿宋" w:hAnsi="仿宋" w:eastAsia="仿宋"/>
        </w:rPr>
      </w:pPr>
      <w:r>
        <w:rPr>
          <w:rFonts w:hint="eastAsia" w:ascii="仿宋" w:hAnsi="仿宋" w:eastAsia="仿宋"/>
        </w:rPr>
        <w:t>门诊患者</w:t>
      </w:r>
    </w:p>
    <w:p>
      <w:pPr>
        <w:pStyle w:val="7"/>
        <w:numPr>
          <w:ilvl w:val="0"/>
          <w:numId w:val="4"/>
        </w:numPr>
        <w:spacing w:line="360" w:lineRule="auto"/>
        <w:ind w:left="420" w:firstLine="420"/>
        <w:rPr>
          <w:rFonts w:ascii="仿宋" w:hAnsi="仿宋" w:eastAsia="仿宋"/>
        </w:rPr>
      </w:pPr>
      <w:r>
        <w:rPr>
          <w:rFonts w:hint="eastAsia" w:ascii="仿宋" w:hAnsi="仿宋" w:eastAsia="仿宋"/>
        </w:rPr>
        <w:t>在院患者</w:t>
      </w:r>
    </w:p>
    <w:p>
      <w:pPr>
        <w:pStyle w:val="7"/>
        <w:numPr>
          <w:ilvl w:val="0"/>
          <w:numId w:val="4"/>
        </w:numPr>
        <w:spacing w:line="360" w:lineRule="auto"/>
        <w:ind w:left="420" w:firstLine="420"/>
        <w:rPr>
          <w:rFonts w:ascii="仿宋" w:hAnsi="仿宋" w:eastAsia="仿宋"/>
        </w:rPr>
      </w:pPr>
      <w:r>
        <w:rPr>
          <w:rFonts w:hint="eastAsia" w:ascii="仿宋" w:hAnsi="仿宋" w:eastAsia="仿宋"/>
        </w:rPr>
        <w:t>当日出院患者、预出院结算患者</w:t>
      </w:r>
    </w:p>
    <w:p>
      <w:pPr>
        <w:pStyle w:val="7"/>
        <w:numPr>
          <w:ilvl w:val="0"/>
          <w:numId w:val="2"/>
        </w:numPr>
        <w:spacing w:line="360" w:lineRule="auto"/>
        <w:ind w:left="0" w:leftChars="0"/>
        <w:rPr>
          <w:rFonts w:ascii="仿宋" w:hAnsi="仿宋" w:eastAsia="仿宋"/>
        </w:rPr>
      </w:pPr>
      <w:r>
        <w:rPr>
          <w:rFonts w:hint="eastAsia" w:ascii="仿宋" w:hAnsi="仿宋" w:eastAsia="仿宋"/>
        </w:rPr>
        <w:t>数据分析：</w:t>
      </w:r>
    </w:p>
    <w:p>
      <w:pPr>
        <w:pStyle w:val="7"/>
        <w:ind w:firstLine="0" w:firstLineChars="0"/>
        <w:rPr>
          <w:rFonts w:ascii="仿宋" w:hAnsi="仿宋" w:eastAsia="仿宋"/>
        </w:rPr>
      </w:pPr>
      <w:r>
        <w:rPr>
          <w:rFonts w:hint="eastAsia" w:ascii="仿宋" w:hAnsi="仿宋" w:eastAsia="仿宋"/>
        </w:rPr>
        <w:t>科室数据横向分析：数据可导出</w:t>
      </w:r>
    </w:p>
    <w:p>
      <w:pPr>
        <w:pStyle w:val="7"/>
        <w:numPr>
          <w:ilvl w:val="0"/>
          <w:numId w:val="5"/>
        </w:numPr>
        <w:spacing w:line="360" w:lineRule="auto"/>
        <w:ind w:left="420" w:firstLine="420"/>
        <w:rPr>
          <w:rFonts w:ascii="仿宋" w:hAnsi="仿宋" w:eastAsia="仿宋"/>
        </w:rPr>
      </w:pPr>
      <w:r>
        <w:rPr>
          <w:rFonts w:hint="eastAsia" w:ascii="仿宋" w:hAnsi="仿宋" w:eastAsia="仿宋"/>
        </w:rPr>
        <w:t>对违规内容进行汇总及分析，按照违规项目、医师、患者分类汇总条数、发生金额并进行分析。</w:t>
      </w:r>
    </w:p>
    <w:p>
      <w:pPr>
        <w:pStyle w:val="7"/>
        <w:numPr>
          <w:ilvl w:val="0"/>
          <w:numId w:val="5"/>
        </w:numPr>
        <w:spacing w:line="360" w:lineRule="auto"/>
        <w:ind w:left="420" w:firstLine="420"/>
        <w:rPr>
          <w:rFonts w:ascii="仿宋" w:hAnsi="仿宋" w:eastAsia="仿宋"/>
        </w:rPr>
      </w:pPr>
      <w:r>
        <w:rPr>
          <w:rFonts w:hint="eastAsia" w:ascii="仿宋" w:hAnsi="仿宋" w:eastAsia="仿宋"/>
        </w:rPr>
        <w:t>对发生较多的违规内容提供优化建议；</w:t>
      </w:r>
    </w:p>
    <w:p>
      <w:pPr>
        <w:pStyle w:val="7"/>
        <w:numPr>
          <w:ilvl w:val="0"/>
          <w:numId w:val="5"/>
        </w:numPr>
        <w:spacing w:line="360" w:lineRule="auto"/>
        <w:ind w:left="420" w:firstLine="420"/>
        <w:rPr>
          <w:rFonts w:ascii="仿宋" w:hAnsi="仿宋" w:eastAsia="仿宋"/>
        </w:rPr>
      </w:pPr>
      <w:r>
        <w:rPr>
          <w:rFonts w:hint="eastAsia" w:ascii="仿宋" w:hAnsi="仿宋" w:eastAsia="仿宋"/>
        </w:rPr>
        <w:t>对医保超支较多的病历初步分析（主要提示发生较多费用的医嘱及操作、出院诊断、入院诊断等）</w:t>
      </w:r>
    </w:p>
    <w:p>
      <w:pPr>
        <w:pStyle w:val="7"/>
        <w:numPr>
          <w:ilvl w:val="0"/>
          <w:numId w:val="5"/>
        </w:numPr>
        <w:spacing w:line="360" w:lineRule="auto"/>
        <w:ind w:left="420" w:firstLine="420"/>
        <w:rPr>
          <w:rFonts w:ascii="仿宋" w:hAnsi="仿宋" w:eastAsia="仿宋"/>
        </w:rPr>
      </w:pPr>
      <w:r>
        <w:rPr>
          <w:rFonts w:hint="eastAsia" w:ascii="仿宋" w:hAnsi="仿宋" w:eastAsia="仿宋"/>
        </w:rPr>
        <w:t>对医保既往违规扣款规则进行嵌入升级</w:t>
      </w:r>
    </w:p>
    <w:p>
      <w:pPr>
        <w:pStyle w:val="7"/>
        <w:ind w:firstLine="0" w:firstLineChars="0"/>
        <w:rPr>
          <w:rFonts w:ascii="仿宋" w:hAnsi="仿宋" w:eastAsia="仿宋"/>
        </w:rPr>
      </w:pPr>
      <w:r>
        <w:rPr>
          <w:rFonts w:hint="eastAsia" w:ascii="仿宋" w:hAnsi="仿宋" w:eastAsia="仿宋"/>
        </w:rPr>
        <w:t>全院数据纵向分析：数据可导出</w:t>
      </w:r>
    </w:p>
    <w:p>
      <w:pPr>
        <w:pStyle w:val="7"/>
        <w:numPr>
          <w:ilvl w:val="0"/>
          <w:numId w:val="6"/>
        </w:numPr>
        <w:spacing w:line="360" w:lineRule="auto"/>
        <w:ind w:left="960" w:leftChars="0"/>
        <w:jc w:val="left"/>
        <w:rPr>
          <w:rFonts w:ascii="仿宋" w:hAnsi="仿宋" w:eastAsia="仿宋"/>
        </w:rPr>
      </w:pPr>
      <w:r>
        <w:rPr>
          <w:rFonts w:hint="eastAsia" w:ascii="仿宋" w:hAnsi="仿宋" w:eastAsia="仿宋"/>
        </w:rPr>
        <w:t>大数据筛查收费明细异常：可通过诊断、手术、项目、性别、年龄、时间等不同维度条件筛查有异常的收费明细，并支持导出进行分析。</w:t>
      </w:r>
    </w:p>
    <w:p>
      <w:pPr>
        <w:pStyle w:val="7"/>
        <w:numPr>
          <w:ilvl w:val="0"/>
          <w:numId w:val="6"/>
        </w:numPr>
        <w:spacing w:line="360" w:lineRule="auto"/>
        <w:ind w:left="960" w:leftChars="0"/>
        <w:rPr>
          <w:rFonts w:ascii="仿宋" w:hAnsi="仿宋" w:eastAsia="仿宋"/>
        </w:rPr>
      </w:pPr>
      <w:r>
        <w:rPr>
          <w:rFonts w:ascii="仿宋" w:hAnsi="仿宋" w:eastAsia="仿宋"/>
        </w:rPr>
        <w:t>总体概述</w:t>
      </w:r>
      <w:r>
        <w:rPr>
          <w:rFonts w:hint="eastAsia" w:ascii="仿宋" w:hAnsi="仿宋" w:eastAsia="仿宋"/>
        </w:rPr>
        <w:t>及指标分析：包括违规概述、违规均值、违规发生次数、违规金额、违规医药机构分析、违规医疗机构级别、可疑违规医生人次、可疑违规患者人次、可疑违规费别占比等信息。</w:t>
      </w:r>
    </w:p>
    <w:p>
      <w:pPr>
        <w:pStyle w:val="7"/>
        <w:numPr>
          <w:ilvl w:val="0"/>
          <w:numId w:val="6"/>
        </w:numPr>
        <w:spacing w:line="360" w:lineRule="auto"/>
        <w:ind w:left="960" w:leftChars="0"/>
        <w:rPr>
          <w:rFonts w:ascii="仿宋" w:hAnsi="仿宋" w:eastAsia="仿宋"/>
        </w:rPr>
      </w:pPr>
      <w:r>
        <w:rPr>
          <w:rFonts w:ascii="仿宋" w:hAnsi="仿宋" w:eastAsia="仿宋"/>
        </w:rPr>
        <w:t>重点分类分析</w:t>
      </w:r>
      <w:r>
        <w:rPr>
          <w:rFonts w:hint="eastAsia" w:ascii="仿宋" w:hAnsi="仿宋" w:eastAsia="仿宋"/>
        </w:rPr>
        <w:t>：通过对已发生的数据进行分类和分析，帮助发现和分析异常情况和违规行为，为后续的审核和处理提供依据。</w:t>
      </w:r>
    </w:p>
    <w:p>
      <w:pPr>
        <w:pStyle w:val="7"/>
        <w:numPr>
          <w:ilvl w:val="0"/>
          <w:numId w:val="6"/>
        </w:numPr>
        <w:spacing w:line="360" w:lineRule="auto"/>
        <w:ind w:left="960" w:leftChars="0"/>
        <w:rPr>
          <w:rFonts w:ascii="仿宋" w:hAnsi="仿宋" w:eastAsia="仿宋"/>
        </w:rPr>
      </w:pPr>
      <w:r>
        <w:rPr>
          <w:rFonts w:ascii="仿宋" w:hAnsi="仿宋" w:eastAsia="仿宋"/>
        </w:rPr>
        <w:t>医保库审核</w:t>
      </w:r>
      <w:r>
        <w:rPr>
          <w:rFonts w:hint="eastAsia" w:ascii="仿宋" w:hAnsi="仿宋" w:eastAsia="仿宋"/>
        </w:rPr>
        <w:t>维护：能够实时维护、补充医保库内容，展示国家医疗保障局关于医疗保障基金智能审核和监控知识库、规则库框架体系(1.0版)包含的三大分类(政策类、管理类、医疗类)；共计79个规则的违规情况分析（后续规则可以实时补充维护）。</w:t>
      </w:r>
    </w:p>
    <w:p>
      <w:pPr>
        <w:pStyle w:val="7"/>
        <w:numPr>
          <w:ilvl w:val="0"/>
          <w:numId w:val="6"/>
        </w:numPr>
        <w:spacing w:line="360" w:lineRule="auto"/>
        <w:ind w:left="960" w:leftChars="0"/>
        <w:rPr>
          <w:rFonts w:ascii="仿宋" w:hAnsi="仿宋" w:eastAsia="仿宋"/>
        </w:rPr>
      </w:pPr>
      <w:r>
        <w:rPr>
          <w:rFonts w:ascii="仿宋" w:hAnsi="仿宋" w:eastAsia="仿宋"/>
        </w:rPr>
        <w:t>评估报告</w:t>
      </w:r>
      <w:r>
        <w:rPr>
          <w:rFonts w:hint="eastAsia" w:ascii="仿宋" w:hAnsi="仿宋" w:eastAsia="仿宋"/>
        </w:rPr>
        <w:t>：能够提供全院、各个科室年度评估报告及不定期评估报告。</w:t>
      </w:r>
    </w:p>
    <w:p>
      <w:pPr>
        <w:pStyle w:val="7"/>
        <w:numPr>
          <w:ilvl w:val="0"/>
          <w:numId w:val="2"/>
        </w:numPr>
        <w:spacing w:line="360" w:lineRule="auto"/>
        <w:ind w:left="0" w:leftChars="0"/>
        <w:rPr>
          <w:rFonts w:ascii="仿宋" w:hAnsi="仿宋" w:eastAsia="仿宋"/>
          <w:color w:val="FF0000"/>
        </w:rPr>
      </w:pPr>
      <w:r>
        <w:rPr>
          <w:rFonts w:hint="eastAsia" w:ascii="仿宋" w:hAnsi="仿宋" w:eastAsia="仿宋"/>
          <w:color w:val="FF0000"/>
        </w:rPr>
        <w:t>医保身份核实：对入院患者医保身份进行核实，包括参保年限，医保支付限额，参保地，是否符合工伤、生育等（工伤、第三方责任、生育字眼提取）；门诊是否符合慢病、特病等。</w:t>
      </w:r>
    </w:p>
    <w:p>
      <w:pPr>
        <w:pStyle w:val="7"/>
        <w:numPr>
          <w:ilvl w:val="0"/>
          <w:numId w:val="2"/>
        </w:numPr>
        <w:spacing w:line="360" w:lineRule="auto"/>
        <w:ind w:left="0" w:leftChars="0"/>
        <w:rPr>
          <w:rFonts w:ascii="仿宋" w:hAnsi="仿宋" w:eastAsia="仿宋"/>
        </w:rPr>
      </w:pPr>
      <w:r>
        <w:rPr>
          <w:rFonts w:hint="eastAsia" w:ascii="仿宋" w:hAnsi="仿宋" w:eastAsia="仿宋"/>
        </w:rPr>
        <w:t>知识库维护：药品目录：维护国家及省发布的药品分类与代码。</w:t>
      </w:r>
    </w:p>
    <w:p>
      <w:pPr>
        <w:pStyle w:val="7"/>
        <w:ind w:firstLine="0" w:firstLineChars="0"/>
        <w:rPr>
          <w:rFonts w:ascii="仿宋" w:hAnsi="仿宋" w:eastAsia="仿宋"/>
        </w:rPr>
      </w:pPr>
      <w:r>
        <w:rPr>
          <w:rFonts w:ascii="仿宋" w:hAnsi="仿宋" w:eastAsia="仿宋"/>
        </w:rPr>
        <w:t>耗材目录</w:t>
      </w:r>
      <w:r>
        <w:rPr>
          <w:rFonts w:hint="eastAsia" w:ascii="仿宋" w:hAnsi="仿宋" w:eastAsia="仿宋"/>
        </w:rPr>
        <w:t>：维护国家及省发布的医用耗材分类与代码。</w:t>
      </w:r>
    </w:p>
    <w:p>
      <w:pPr>
        <w:pStyle w:val="7"/>
        <w:ind w:firstLine="0" w:firstLineChars="0"/>
        <w:rPr>
          <w:rFonts w:ascii="仿宋" w:hAnsi="仿宋" w:eastAsia="仿宋"/>
        </w:rPr>
      </w:pPr>
      <w:r>
        <w:rPr>
          <w:rFonts w:ascii="仿宋" w:hAnsi="仿宋" w:eastAsia="仿宋"/>
        </w:rPr>
        <w:t>医疗服务项目</w:t>
      </w:r>
      <w:r>
        <w:rPr>
          <w:rFonts w:hint="eastAsia" w:ascii="仿宋" w:hAnsi="仿宋" w:eastAsia="仿宋"/>
        </w:rPr>
        <w:t>：维护国家及省发布的医疗服务项目分类与代码。</w:t>
      </w:r>
    </w:p>
    <w:p>
      <w:pPr>
        <w:pStyle w:val="7"/>
        <w:ind w:firstLine="0" w:firstLineChars="0"/>
        <w:rPr>
          <w:rFonts w:ascii="仿宋" w:hAnsi="仿宋" w:eastAsia="仿宋"/>
        </w:rPr>
      </w:pPr>
      <w:r>
        <w:rPr>
          <w:rFonts w:ascii="仿宋" w:hAnsi="仿宋" w:eastAsia="仿宋"/>
        </w:rPr>
        <w:t>医药学知识</w:t>
      </w:r>
      <w:r>
        <w:rPr>
          <w:rFonts w:hint="eastAsia" w:ascii="仿宋" w:hAnsi="仿宋" w:eastAsia="仿宋"/>
        </w:rPr>
        <w:t>：中国国家处方集、十八反十九畏、</w:t>
      </w:r>
      <w:r>
        <w:rPr>
          <w:rFonts w:hint="eastAsia" w:ascii="仿宋" w:hAnsi="仿宋" w:eastAsia="仿宋"/>
          <w:color w:val="FF0000"/>
          <w:lang w:val="en-US" w:eastAsia="zh-CN"/>
        </w:rPr>
        <w:t>中国药典</w:t>
      </w:r>
      <w:r>
        <w:rPr>
          <w:rFonts w:hint="eastAsia" w:ascii="仿宋" w:hAnsi="仿宋" w:eastAsia="仿宋"/>
        </w:rPr>
        <w:t>、药品说明书，支持全文检索。</w:t>
      </w:r>
    </w:p>
    <w:p>
      <w:pPr>
        <w:pStyle w:val="7"/>
        <w:numPr>
          <w:ilvl w:val="0"/>
          <w:numId w:val="2"/>
        </w:numPr>
        <w:spacing w:line="360" w:lineRule="auto"/>
        <w:ind w:left="0" w:leftChars="0"/>
        <w:rPr>
          <w:rFonts w:ascii="仿宋" w:hAnsi="仿宋" w:eastAsia="仿宋"/>
        </w:rPr>
      </w:pPr>
      <w:r>
        <w:rPr>
          <w:rFonts w:hint="eastAsia" w:ascii="仿宋" w:hAnsi="仿宋" w:eastAsia="仿宋"/>
        </w:rPr>
        <w:t>对监管规则可实施管理：</w:t>
      </w:r>
    </w:p>
    <w:p>
      <w:pPr>
        <w:pStyle w:val="7"/>
        <w:spacing w:line="360" w:lineRule="auto"/>
        <w:ind w:left="425" w:leftChars="0" w:firstLine="0" w:firstLineChars="0"/>
        <w:rPr>
          <w:rFonts w:ascii="仿宋" w:hAnsi="仿宋" w:eastAsia="仿宋"/>
        </w:rPr>
      </w:pPr>
      <w:r>
        <w:rPr>
          <w:rFonts w:hint="eastAsia" w:ascii="仿宋" w:hAnsi="仿宋" w:eastAsia="仿宋"/>
        </w:rPr>
        <w:t xml:space="preserve">    一、</w:t>
      </w:r>
      <w:r>
        <w:rPr>
          <w:rFonts w:ascii="仿宋" w:hAnsi="仿宋" w:eastAsia="仿宋"/>
        </w:rPr>
        <w:t>分类管理</w:t>
      </w:r>
      <w:r>
        <w:rPr>
          <w:rFonts w:hint="eastAsia" w:ascii="仿宋" w:hAnsi="仿宋" w:eastAsia="仿宋"/>
        </w:rPr>
        <w:t>：主要维护项目型校验规则分类，包括一级分类、二级分类、三级分类、分级、分类依据等信息。覆盖国家医疗保障局关于医疗保障基金智能审核和监控知识库、规则库框架体系(1.0版)分类。</w:t>
      </w:r>
    </w:p>
    <w:p>
      <w:pPr>
        <w:pStyle w:val="7"/>
        <w:spacing w:line="360" w:lineRule="auto"/>
        <w:ind w:left="425" w:leftChars="0" w:firstLine="0" w:firstLineChars="0"/>
        <w:rPr>
          <w:rFonts w:ascii="仿宋" w:hAnsi="仿宋" w:eastAsia="仿宋"/>
        </w:rPr>
      </w:pPr>
      <w:r>
        <w:rPr>
          <w:rFonts w:hint="eastAsia" w:ascii="仿宋" w:hAnsi="仿宋" w:eastAsia="仿宋"/>
        </w:rPr>
        <w:t xml:space="preserve">    二、</w:t>
      </w:r>
      <w:r>
        <w:rPr>
          <w:rFonts w:ascii="仿宋" w:hAnsi="仿宋" w:eastAsia="仿宋"/>
        </w:rPr>
        <w:t>规则信息管理</w:t>
      </w:r>
      <w:r>
        <w:rPr>
          <w:rFonts w:hint="eastAsia" w:ascii="仿宋" w:hAnsi="仿宋" w:eastAsia="仿宋"/>
        </w:rPr>
        <w:t>：主要维护项目型校验规则，包括规则编码、规则名称、规则分类、规则类型，规则等级，备注等信息。支持医院自定义规则，支持规则试运行。</w:t>
      </w:r>
    </w:p>
    <w:p>
      <w:pPr>
        <w:pStyle w:val="7"/>
        <w:spacing w:line="360" w:lineRule="auto"/>
        <w:ind w:left="425" w:leftChars="0" w:firstLine="0" w:firstLineChars="0"/>
        <w:rPr>
          <w:rFonts w:ascii="仿宋" w:hAnsi="仿宋" w:eastAsia="仿宋"/>
        </w:rPr>
      </w:pPr>
      <w:r>
        <w:rPr>
          <w:rFonts w:hint="eastAsia" w:ascii="仿宋" w:hAnsi="仿宋" w:eastAsia="仿宋"/>
        </w:rPr>
        <w:t xml:space="preserve">    三、</w:t>
      </w:r>
      <w:r>
        <w:rPr>
          <w:rFonts w:ascii="仿宋" w:hAnsi="仿宋" w:eastAsia="仿宋"/>
        </w:rPr>
        <w:t>规则实例管理</w:t>
      </w:r>
      <w:r>
        <w:rPr>
          <w:rFonts w:hint="eastAsia" w:ascii="仿宋" w:hAnsi="仿宋" w:eastAsia="仿宋"/>
        </w:rPr>
        <w:t>：主要维护项目型规则实例信息，关联具体医药价格目录、关联药品、关联其他诊疗信息，包括主项编码，主项名称，关联关系，关联编码关联名称、依据类型、依据内容、依据来源、备注等信息。同时还包括规则子实例、规则实例参数管理。支持医院自定义规则实例，支持规则实例试运行。</w:t>
      </w:r>
    </w:p>
    <w:p>
      <w:pPr>
        <w:pStyle w:val="7"/>
        <w:spacing w:line="360" w:lineRule="auto"/>
        <w:ind w:left="425" w:leftChars="0" w:firstLine="0" w:firstLineChars="0"/>
        <w:rPr>
          <w:rFonts w:ascii="仿宋" w:hAnsi="仿宋" w:eastAsia="仿宋"/>
        </w:rPr>
      </w:pPr>
      <w:r>
        <w:rPr>
          <w:rFonts w:hint="eastAsia" w:ascii="仿宋" w:hAnsi="仿宋" w:eastAsia="仿宋"/>
        </w:rPr>
        <w:t xml:space="preserve">    四、</w:t>
      </w:r>
      <w:r>
        <w:rPr>
          <w:rFonts w:ascii="仿宋" w:hAnsi="仿宋" w:eastAsia="仿宋"/>
        </w:rPr>
        <w:t>规则脚本管理</w:t>
      </w:r>
      <w:r>
        <w:rPr>
          <w:rFonts w:hint="eastAsia" w:ascii="仿宋" w:hAnsi="仿宋" w:eastAsia="仿宋"/>
        </w:rPr>
        <w:t>：规则脚本就是维护规则实例运行的执行语句。支持医院自定义规则脚本，支持脚本试运行。</w:t>
      </w:r>
    </w:p>
    <w:p>
      <w:pPr>
        <w:pStyle w:val="7"/>
        <w:numPr>
          <w:ilvl w:val="0"/>
          <w:numId w:val="2"/>
        </w:numPr>
        <w:spacing w:line="360" w:lineRule="auto"/>
        <w:ind w:left="0" w:leftChars="0"/>
        <w:rPr>
          <w:rFonts w:ascii="仿宋" w:hAnsi="仿宋" w:eastAsia="仿宋"/>
        </w:rPr>
      </w:pPr>
      <w:r>
        <w:rPr>
          <w:rFonts w:hint="eastAsia" w:ascii="仿宋" w:hAnsi="仿宋" w:eastAsia="仿宋"/>
        </w:rPr>
        <w:t>药品辅助管理：辅助医药管理，对本院的辅助用药进行维护管理；重点监管医药管理，对本院的重点监管药品进行维护管理；手术等级管理，对本院手术级别（三级、四级）进行维护管理；毒麻医药管理，对本院的毒麻药品进行维护管理。</w:t>
      </w:r>
    </w:p>
    <w:p>
      <w:pPr>
        <w:pStyle w:val="7"/>
        <w:numPr>
          <w:ilvl w:val="0"/>
          <w:numId w:val="2"/>
        </w:numPr>
        <w:spacing w:line="360" w:lineRule="auto"/>
        <w:ind w:left="0" w:leftChars="0"/>
        <w:rPr>
          <w:rFonts w:ascii="仿宋" w:hAnsi="仿宋" w:eastAsia="仿宋"/>
        </w:rPr>
      </w:pPr>
      <w:r>
        <w:rPr>
          <w:rFonts w:hint="eastAsia" w:ascii="仿宋" w:hAnsi="仿宋" w:eastAsia="仿宋"/>
        </w:rPr>
        <w:t>收费项目管理：维护主项目和子项目的关系；维护主项目和加收项目的差系；维护依赖项目和主项目的关系；项目有效性维护，支持启用/停止指定项目规则。</w:t>
      </w:r>
    </w:p>
    <w:p>
      <w:pPr>
        <w:pStyle w:val="7"/>
        <w:numPr>
          <w:ilvl w:val="0"/>
          <w:numId w:val="2"/>
        </w:numPr>
        <w:spacing w:line="360" w:lineRule="auto"/>
        <w:ind w:left="0" w:leftChars="0"/>
        <w:rPr>
          <w:rFonts w:ascii="仿宋" w:hAnsi="仿宋" w:eastAsia="仿宋"/>
        </w:rPr>
      </w:pPr>
      <w:r>
        <w:rPr>
          <w:rFonts w:hint="eastAsia" w:ascii="仿宋" w:hAnsi="仿宋" w:eastAsia="仿宋"/>
        </w:rPr>
        <w:t>医保医师</w:t>
      </w:r>
      <w:r>
        <w:rPr>
          <w:rFonts w:ascii="仿宋" w:hAnsi="仿宋" w:eastAsia="仿宋"/>
        </w:rPr>
        <w:t>管理</w:t>
      </w:r>
      <w:r>
        <w:rPr>
          <w:rFonts w:hint="eastAsia" w:ascii="仿宋" w:hAnsi="仿宋" w:eastAsia="仿宋"/>
        </w:rPr>
        <w:t>:与国家医保信息业务编码标准数据库动态维护平台医保医师维护端口连接，管理医生的资质信息，包括医生的执业证书、职称证书等。对医生资质进行审核和验证，确保医生具备提供相应医疗服务的资质维护医生资质信息的更新和变更，如医生职称晋升、执业范围变更等情况。提供医生资质查询和查证功能，方便相关部门或个人查询医生的资质信息。</w:t>
      </w:r>
    </w:p>
    <w:p>
      <w:pPr>
        <w:pStyle w:val="7"/>
        <w:ind w:firstLine="0" w:firstLineChars="0"/>
        <w:rPr>
          <w:rFonts w:ascii="仿宋" w:hAnsi="仿宋" w:eastAsia="仿宋"/>
        </w:rPr>
      </w:pPr>
    </w:p>
    <w:p>
      <w:pPr>
        <w:pStyle w:val="6"/>
        <w:tabs>
          <w:tab w:val="left" w:pos="720"/>
        </w:tabs>
        <w:autoSpaceDE w:val="0"/>
        <w:autoSpaceDN w:val="0"/>
        <w:adjustRightInd w:val="0"/>
        <w:spacing w:line="360" w:lineRule="auto"/>
        <w:ind w:right="17"/>
        <w:outlineLvl w:val="1"/>
        <w:rPr>
          <w:rFonts w:hint="eastAsia" w:ascii="仿宋" w:hAnsi="仿宋" w:eastAsia="仿宋" w:cs="仿宋"/>
          <w:b/>
        </w:rPr>
      </w:pPr>
      <w:r>
        <w:rPr>
          <w:rFonts w:hint="eastAsia" w:ascii="仿宋" w:hAnsi="仿宋" w:eastAsia="仿宋" w:cs="仿宋"/>
          <w:b/>
        </w:rPr>
        <w:t>事中管控：</w:t>
      </w:r>
    </w:p>
    <w:p>
      <w:pPr>
        <w:pStyle w:val="7"/>
        <w:ind w:firstLine="0" w:firstLineChars="0"/>
        <w:rPr>
          <w:rFonts w:ascii="仿宋" w:hAnsi="仿宋" w:eastAsia="仿宋"/>
        </w:rPr>
      </w:pPr>
    </w:p>
    <w:p>
      <w:pPr>
        <w:pStyle w:val="7"/>
        <w:numPr>
          <w:ilvl w:val="0"/>
          <w:numId w:val="7"/>
        </w:numPr>
        <w:spacing w:line="360" w:lineRule="auto"/>
        <w:ind w:leftChars="0" w:firstLineChars="0"/>
        <w:rPr>
          <w:rFonts w:ascii="仿宋" w:hAnsi="仿宋" w:eastAsia="仿宋" w:cs="宋体"/>
          <w:bCs/>
          <w:kern w:val="0"/>
          <w:sz w:val="24"/>
          <w:szCs w:val="24"/>
          <w:lang w:bidi="ar"/>
        </w:rPr>
      </w:pPr>
      <w:r>
        <w:rPr>
          <w:rFonts w:hint="eastAsia" w:ascii="仿宋" w:hAnsi="仿宋" w:eastAsia="仿宋" w:cs="宋体"/>
          <w:bCs/>
          <w:kern w:val="0"/>
          <w:sz w:val="24"/>
          <w:szCs w:val="24"/>
          <w:lang w:bidi="ar"/>
        </w:rPr>
        <w:t>临床科室功能需求</w:t>
      </w:r>
    </w:p>
    <w:p>
      <w:pPr>
        <w:pStyle w:val="7"/>
        <w:spacing w:line="360" w:lineRule="auto"/>
        <w:ind w:left="425" w:leftChars="0" w:firstLine="0" w:firstLineChars="0"/>
        <w:rPr>
          <w:rFonts w:ascii="仿宋" w:hAnsi="仿宋" w:eastAsia="仿宋"/>
        </w:rPr>
      </w:pPr>
      <w:r>
        <w:rPr>
          <w:rFonts w:hint="eastAsia" w:ascii="仿宋" w:hAnsi="仿宋" w:eastAsia="仿宋"/>
        </w:rPr>
        <w:t>（1）违规预警处理：对医保科提醒的违规项目进行处理</w:t>
      </w:r>
      <w:r>
        <w:rPr>
          <w:rFonts w:hint="eastAsia" w:ascii="仿宋" w:hAnsi="仿宋" w:eastAsia="仿宋"/>
          <w:lang w:eastAsia="zh-CN"/>
        </w:rPr>
        <w:t>（</w:t>
      </w:r>
      <w:r>
        <w:rPr>
          <w:rFonts w:hint="eastAsia" w:ascii="仿宋" w:hAnsi="仿宋" w:eastAsia="仿宋"/>
          <w:color w:val="FF0000"/>
          <w:lang w:val="en-US" w:eastAsia="zh-CN"/>
        </w:rPr>
        <w:t>如所开药品超医保限制适应症、重复收费、护理级别合理性等，详见医保智能审核规则库）</w:t>
      </w:r>
      <w:r>
        <w:rPr>
          <w:rFonts w:hint="eastAsia" w:ascii="仿宋" w:hAnsi="仿宋" w:eastAsia="仿宋"/>
        </w:rPr>
        <w:t>，在his中可直观看到并操作；（2）指标分析：包括违规概述、违规均值、违规发生次数、违规金额、可疑违规医生人次、可疑违规患者人次、可疑违规费别占比等信息。数据及分析结果可导出。</w:t>
      </w:r>
    </w:p>
    <w:p>
      <w:pPr>
        <w:pStyle w:val="7"/>
        <w:spacing w:line="360" w:lineRule="auto"/>
        <w:ind w:left="425" w:leftChars="0" w:firstLine="0" w:firstLineChars="0"/>
        <w:rPr>
          <w:rFonts w:ascii="仿宋" w:hAnsi="仿宋" w:eastAsia="仿宋"/>
        </w:rPr>
      </w:pPr>
      <w:r>
        <w:rPr>
          <w:rFonts w:hint="eastAsia" w:ascii="仿宋" w:hAnsi="仿宋" w:eastAsia="仿宋"/>
        </w:rPr>
        <w:t>（3）医保规则库查询：展示国家医疗保障局关于医疗保障基金智能审核和监控知识库、规则库框架体系(1.0版)包含的三大分类(政策类、管理类、医疗类)，共计79个规则的违规情况分析。</w:t>
      </w:r>
    </w:p>
    <w:p>
      <w:pPr>
        <w:pStyle w:val="7"/>
        <w:spacing w:line="360" w:lineRule="auto"/>
        <w:ind w:left="425" w:leftChars="0" w:firstLine="0" w:firstLineChars="0"/>
        <w:rPr>
          <w:rFonts w:ascii="仿宋" w:hAnsi="仿宋" w:eastAsia="仿宋"/>
        </w:rPr>
      </w:pPr>
      <w:r>
        <w:rPr>
          <w:rFonts w:hint="eastAsia" w:ascii="仿宋" w:hAnsi="仿宋" w:eastAsia="仿宋"/>
        </w:rPr>
        <w:t>（4）知识库查询：涵盖三大目录（药品、耗材、医疗服务项目）分类及代码；</w:t>
      </w:r>
    </w:p>
    <w:p>
      <w:pPr>
        <w:pStyle w:val="7"/>
        <w:spacing w:line="360" w:lineRule="auto"/>
        <w:ind w:left="425" w:leftChars="0" w:firstLine="0" w:firstLineChars="0"/>
        <w:rPr>
          <w:rFonts w:ascii="仿宋" w:hAnsi="仿宋" w:eastAsia="仿宋"/>
        </w:rPr>
      </w:pPr>
      <w:r>
        <w:rPr>
          <w:rFonts w:ascii="仿宋" w:hAnsi="仿宋" w:eastAsia="仿宋"/>
        </w:rPr>
        <w:t>中国国家处方集</w:t>
      </w:r>
      <w:r>
        <w:rPr>
          <w:rFonts w:hint="eastAsia" w:ascii="仿宋" w:hAnsi="仿宋" w:eastAsia="仿宋"/>
        </w:rPr>
        <w:t>及药品说明书。</w:t>
      </w:r>
      <w:bookmarkStart w:id="2" w:name="_GoBack"/>
      <w:bookmarkEnd w:id="2"/>
    </w:p>
    <w:p>
      <w:pPr>
        <w:pStyle w:val="7"/>
        <w:spacing w:line="360" w:lineRule="auto"/>
        <w:ind w:left="425" w:leftChars="0" w:firstLine="0" w:firstLineChars="0"/>
        <w:rPr>
          <w:rFonts w:hint="eastAsia" w:ascii="仿宋" w:hAnsi="仿宋" w:eastAsia="仿宋"/>
        </w:rPr>
      </w:pPr>
      <w:r>
        <w:rPr>
          <w:rFonts w:hint="eastAsia" w:ascii="仿宋" w:hAnsi="仿宋" w:eastAsia="仿宋"/>
        </w:rPr>
        <w:t>（5）科室评估报告：提供不定期评估报告，从不同的维度进行分析；年尾有年度评估报告。</w:t>
      </w:r>
    </w:p>
    <w:p>
      <w:pPr>
        <w:pStyle w:val="7"/>
        <w:spacing w:line="360" w:lineRule="auto"/>
        <w:ind w:left="425" w:leftChars="0" w:firstLine="0" w:firstLineChars="0"/>
        <w:rPr>
          <w:rFonts w:hint="eastAsia" w:ascii="仿宋" w:hAnsi="仿宋" w:eastAsia="仿宋"/>
        </w:rPr>
      </w:pPr>
      <w:r>
        <w:rPr>
          <w:rFonts w:hint="eastAsia" w:ascii="仿宋" w:hAnsi="仿宋" w:eastAsia="仿宋"/>
        </w:rPr>
        <w:t>（6）实时审批、实时干预，能够对重点（特殊）人群实施监控。</w:t>
      </w:r>
    </w:p>
    <w:p>
      <w:pPr>
        <w:pStyle w:val="7"/>
        <w:spacing w:line="360" w:lineRule="auto"/>
        <w:ind w:left="425" w:leftChars="0" w:firstLine="0" w:firstLineChars="0"/>
        <w:rPr>
          <w:rFonts w:hint="eastAsia" w:ascii="仿宋" w:hAnsi="仿宋" w:eastAsia="仿宋"/>
        </w:rPr>
      </w:pPr>
      <w:r>
        <w:rPr>
          <w:rFonts w:hint="eastAsia" w:ascii="仿宋" w:hAnsi="仿宋" w:eastAsia="仿宋"/>
        </w:rPr>
        <w:t>（7）高值耗材的限定；</w:t>
      </w:r>
    </w:p>
    <w:p>
      <w:pPr>
        <w:pStyle w:val="7"/>
        <w:spacing w:line="360" w:lineRule="auto"/>
        <w:ind w:left="425" w:leftChars="0" w:firstLine="0" w:firstLineChars="0"/>
        <w:rPr>
          <w:rFonts w:hint="eastAsia" w:ascii="仿宋" w:hAnsi="仿宋" w:eastAsia="仿宋"/>
        </w:rPr>
      </w:pPr>
    </w:p>
    <w:p>
      <w:pPr>
        <w:pStyle w:val="6"/>
        <w:tabs>
          <w:tab w:val="left" w:pos="720"/>
        </w:tabs>
        <w:autoSpaceDE w:val="0"/>
        <w:autoSpaceDN w:val="0"/>
        <w:adjustRightInd w:val="0"/>
        <w:spacing w:line="360" w:lineRule="auto"/>
        <w:ind w:right="17"/>
        <w:outlineLvl w:val="1"/>
        <w:rPr>
          <w:rFonts w:hint="eastAsia" w:ascii="仿宋" w:hAnsi="仿宋" w:eastAsia="仿宋" w:cs="仿宋"/>
          <w:b/>
        </w:rPr>
      </w:pPr>
      <w:r>
        <w:rPr>
          <w:rFonts w:hint="eastAsia" w:ascii="仿宋" w:hAnsi="仿宋" w:eastAsia="仿宋" w:cs="仿宋"/>
          <w:b/>
        </w:rPr>
        <w:t>事后管理：</w:t>
      </w:r>
    </w:p>
    <w:p>
      <w:pPr>
        <w:pStyle w:val="7"/>
        <w:ind w:firstLine="0" w:firstLineChars="0"/>
        <w:rPr>
          <w:rFonts w:ascii="仿宋" w:hAnsi="仿宋" w:eastAsia="仿宋" w:cs="宋体"/>
          <w:bCs/>
          <w:kern w:val="0"/>
          <w:lang w:bidi="ar"/>
        </w:rPr>
      </w:pPr>
    </w:p>
    <w:p>
      <w:pPr>
        <w:pStyle w:val="7"/>
        <w:spacing w:line="360" w:lineRule="auto"/>
        <w:ind w:left="0" w:leftChars="0" w:firstLine="0" w:firstLineChars="0"/>
        <w:rPr>
          <w:rFonts w:ascii="仿宋" w:hAnsi="仿宋" w:eastAsia="仿宋" w:cs="宋体"/>
          <w:bCs/>
          <w:kern w:val="0"/>
          <w:sz w:val="24"/>
          <w:szCs w:val="24"/>
          <w:lang w:bidi="ar"/>
        </w:rPr>
      </w:pPr>
      <w:r>
        <w:rPr>
          <w:rFonts w:hint="eastAsia" w:ascii="仿宋" w:hAnsi="仿宋" w:eastAsia="仿宋" w:cs="宋体"/>
          <w:bCs/>
          <w:kern w:val="0"/>
          <w:sz w:val="24"/>
          <w:szCs w:val="24"/>
          <w:lang w:bidi="ar"/>
        </w:rPr>
        <w:t>3、医保违规反馈：</w:t>
      </w:r>
    </w:p>
    <w:p>
      <w:pPr>
        <w:pStyle w:val="7"/>
        <w:numPr>
          <w:ilvl w:val="0"/>
          <w:numId w:val="8"/>
        </w:numPr>
        <w:spacing w:line="360" w:lineRule="auto"/>
        <w:ind w:left="420" w:firstLine="420"/>
        <w:rPr>
          <w:rFonts w:ascii="仿宋" w:hAnsi="仿宋" w:eastAsia="仿宋" w:cs="宋体"/>
          <w:bCs/>
          <w:kern w:val="0"/>
          <w:lang w:bidi="ar"/>
        </w:rPr>
      </w:pPr>
      <w:r>
        <w:rPr>
          <w:rFonts w:hint="eastAsia" w:ascii="仿宋" w:hAnsi="仿宋" w:eastAsia="仿宋" w:cs="宋体"/>
          <w:bCs/>
          <w:kern w:val="0"/>
          <w:lang w:bidi="ar"/>
        </w:rPr>
        <w:t>医保违规列表维护：导入医保局下发的医保违规列表，查询医保违规列表；</w:t>
      </w:r>
    </w:p>
    <w:p>
      <w:pPr>
        <w:pStyle w:val="7"/>
        <w:numPr>
          <w:ilvl w:val="0"/>
          <w:numId w:val="8"/>
        </w:numPr>
        <w:spacing w:line="360" w:lineRule="auto"/>
        <w:ind w:left="420" w:firstLine="420"/>
        <w:rPr>
          <w:rFonts w:ascii="仿宋" w:hAnsi="仿宋" w:eastAsia="仿宋" w:cs="宋体"/>
          <w:bCs/>
          <w:kern w:val="0"/>
          <w:lang w:bidi="ar"/>
        </w:rPr>
      </w:pPr>
      <w:r>
        <w:rPr>
          <w:rFonts w:ascii="仿宋" w:hAnsi="仿宋" w:eastAsia="仿宋" w:cs="宋体"/>
          <w:bCs/>
          <w:kern w:val="0"/>
          <w:lang w:bidi="ar"/>
        </w:rPr>
        <w:t>违规列表分发</w:t>
      </w:r>
      <w:r>
        <w:rPr>
          <w:rFonts w:hint="eastAsia" w:ascii="仿宋" w:hAnsi="仿宋" w:eastAsia="仿宋" w:cs="宋体"/>
          <w:bCs/>
          <w:kern w:val="0"/>
          <w:lang w:bidi="ar"/>
        </w:rPr>
        <w:t>：把医保局的违规明细分发给对应的科室，科室可同时在智能审核软件上查看；</w:t>
      </w:r>
    </w:p>
    <w:p>
      <w:pPr>
        <w:pStyle w:val="7"/>
        <w:numPr>
          <w:ilvl w:val="0"/>
          <w:numId w:val="8"/>
        </w:numPr>
        <w:spacing w:line="360" w:lineRule="auto"/>
        <w:ind w:left="420" w:firstLine="420"/>
        <w:rPr>
          <w:rFonts w:ascii="仿宋" w:hAnsi="仿宋" w:eastAsia="仿宋" w:cs="宋体"/>
          <w:bCs/>
          <w:kern w:val="0"/>
          <w:lang w:bidi="ar"/>
        </w:rPr>
      </w:pPr>
      <w:r>
        <w:rPr>
          <w:rFonts w:ascii="仿宋" w:hAnsi="仿宋" w:eastAsia="仿宋" w:cs="宋体"/>
          <w:bCs/>
          <w:kern w:val="0"/>
          <w:lang w:bidi="ar"/>
        </w:rPr>
        <w:t>违规申诉审核</w:t>
      </w:r>
      <w:r>
        <w:rPr>
          <w:rFonts w:hint="eastAsia" w:ascii="仿宋" w:hAnsi="仿宋" w:eastAsia="仿宋" w:cs="宋体"/>
          <w:bCs/>
          <w:kern w:val="0"/>
          <w:lang w:bidi="ar"/>
        </w:rPr>
        <w:t>：对各临床科室的申诉进行内容审核；</w:t>
      </w:r>
    </w:p>
    <w:p>
      <w:pPr>
        <w:pStyle w:val="7"/>
        <w:numPr>
          <w:ilvl w:val="0"/>
          <w:numId w:val="8"/>
        </w:numPr>
        <w:spacing w:line="360" w:lineRule="auto"/>
        <w:ind w:left="420" w:firstLine="420"/>
        <w:rPr>
          <w:rFonts w:hint="eastAsia" w:ascii="仿宋" w:hAnsi="仿宋" w:eastAsia="仿宋" w:cs="宋体"/>
          <w:bCs/>
          <w:kern w:val="0"/>
          <w:lang w:bidi="ar"/>
        </w:rPr>
      </w:pPr>
      <w:r>
        <w:rPr>
          <w:rFonts w:ascii="仿宋" w:hAnsi="仿宋" w:eastAsia="仿宋" w:cs="宋体"/>
          <w:bCs/>
          <w:kern w:val="0"/>
          <w:lang w:bidi="ar"/>
        </w:rPr>
        <w:t>医保违规申诉上报</w:t>
      </w:r>
      <w:r>
        <w:rPr>
          <w:rFonts w:hint="eastAsia" w:ascii="仿宋" w:hAnsi="仿宋" w:eastAsia="仿宋" w:cs="宋体"/>
          <w:bCs/>
          <w:kern w:val="0"/>
          <w:lang w:bidi="ar"/>
        </w:rPr>
        <w:t>：已审核的医保违规申诉结果导出，把申诉上报给医保局；</w:t>
      </w:r>
    </w:p>
    <w:p>
      <w:pPr>
        <w:pStyle w:val="7"/>
        <w:numPr>
          <w:ilvl w:val="0"/>
          <w:numId w:val="8"/>
        </w:numPr>
        <w:spacing w:line="360" w:lineRule="auto"/>
        <w:ind w:left="420" w:firstLine="420"/>
        <w:rPr>
          <w:rFonts w:ascii="仿宋" w:hAnsi="仿宋" w:eastAsia="仿宋" w:cs="宋体"/>
          <w:bCs/>
          <w:kern w:val="0"/>
          <w:lang w:bidi="ar"/>
        </w:rPr>
      </w:pPr>
      <w:r>
        <w:rPr>
          <w:rFonts w:hint="eastAsia" w:ascii="仿宋" w:hAnsi="仿宋" w:eastAsia="仿宋" w:cs="宋体"/>
          <w:bCs/>
          <w:kern w:val="0"/>
          <w:lang w:bidi="ar"/>
        </w:rPr>
        <w:t>监控分析：拥有监控指标分析、违规责任追溯、违规科室分析、违规处理跟踪、违规医师分析、数据指控分析、违规项目分析等相关数据分析板块。</w:t>
      </w:r>
    </w:p>
    <w:p>
      <w:pPr>
        <w:pStyle w:val="7"/>
        <w:ind w:left="0" w:leftChars="0" w:firstLine="0" w:firstLineChars="0"/>
        <w:rPr>
          <w:rFonts w:ascii="仿宋" w:hAnsi="仿宋" w:eastAsia="仿宋" w:cs="宋体"/>
          <w:bCs/>
          <w:kern w:val="0"/>
          <w:lang w:bidi="ar"/>
        </w:rPr>
      </w:pPr>
    </w:p>
    <w:p>
      <w:pPr>
        <w:pStyle w:val="7"/>
        <w:ind w:left="0" w:leftChars="0" w:firstLine="0" w:firstLineChars="0"/>
        <w:rPr>
          <w:rFonts w:ascii="仿宋" w:hAnsi="仿宋" w:eastAsia="仿宋" w:cs="宋体"/>
          <w:bCs/>
          <w:kern w:val="0"/>
          <w:sz w:val="24"/>
          <w:szCs w:val="24"/>
          <w:lang w:bidi="ar"/>
        </w:rPr>
      </w:pPr>
      <w:r>
        <w:rPr>
          <w:rFonts w:hint="eastAsia" w:ascii="仿宋" w:hAnsi="仿宋" w:eastAsia="仿宋" w:cs="宋体"/>
          <w:bCs/>
          <w:kern w:val="0"/>
          <w:sz w:val="24"/>
          <w:szCs w:val="24"/>
          <w:lang w:bidi="ar"/>
        </w:rPr>
        <w:t>4、系统管理</w:t>
      </w:r>
    </w:p>
    <w:p>
      <w:pPr>
        <w:pStyle w:val="7"/>
        <w:ind w:left="360" w:leftChars="0" w:firstLine="0" w:firstLineChars="0"/>
        <w:rPr>
          <w:rFonts w:ascii="仿宋" w:hAnsi="仿宋" w:eastAsia="仿宋" w:cs="宋体"/>
          <w:bCs/>
          <w:kern w:val="0"/>
          <w:sz w:val="24"/>
          <w:szCs w:val="24"/>
          <w:lang w:bidi="ar"/>
        </w:rPr>
      </w:pPr>
    </w:p>
    <w:p>
      <w:pPr>
        <w:spacing w:line="360" w:lineRule="auto"/>
        <w:ind w:firstLine="480"/>
        <w:rPr>
          <w:rFonts w:ascii="仿宋" w:hAnsi="仿宋" w:eastAsia="仿宋" w:cs="宋体"/>
          <w:bCs/>
          <w:kern w:val="0"/>
          <w:lang w:bidi="ar"/>
        </w:rPr>
      </w:pPr>
      <w:r>
        <w:rPr>
          <w:rFonts w:hint="eastAsia" w:ascii="仿宋" w:hAnsi="仿宋" w:eastAsia="仿宋" w:cs="宋体"/>
          <w:bCs/>
          <w:kern w:val="0"/>
          <w:lang w:bidi="ar"/>
        </w:rPr>
        <w:t xml:space="preserve">    一、可自行对系统进行用户角色、科室管理等自定义：</w:t>
      </w:r>
    </w:p>
    <w:p>
      <w:pPr>
        <w:spacing w:line="360" w:lineRule="auto"/>
        <w:ind w:firstLine="480"/>
        <w:rPr>
          <w:rFonts w:ascii="仿宋" w:hAnsi="仿宋" w:eastAsia="仿宋" w:cs="宋体"/>
          <w:bCs/>
          <w:kern w:val="0"/>
          <w:lang w:bidi="ar"/>
        </w:rPr>
      </w:pPr>
      <w:r>
        <w:rPr>
          <w:rFonts w:hint="eastAsia" w:ascii="仿宋" w:hAnsi="仿宋" w:eastAsia="仿宋" w:cs="宋体"/>
          <w:bCs/>
          <w:kern w:val="0"/>
          <w:lang w:bidi="ar"/>
        </w:rPr>
        <w:t xml:space="preserve">    </w:t>
      </w:r>
      <w:r>
        <w:rPr>
          <w:rFonts w:ascii="仿宋" w:hAnsi="仿宋" w:eastAsia="仿宋" w:cs="宋体"/>
          <w:bCs/>
          <w:kern w:val="0"/>
          <w:lang w:bidi="ar"/>
        </w:rPr>
        <w:t>(1)用户管理：用户信息须与 HIS 进行同步，并可以通过功能按钮区域新增、 修改、删除、角色分配、科室分配进行对用户的基本操作。</w:t>
      </w:r>
    </w:p>
    <w:p>
      <w:pPr>
        <w:spacing w:line="360" w:lineRule="auto"/>
        <w:ind w:firstLine="480"/>
        <w:rPr>
          <w:rFonts w:hint="eastAsia" w:ascii="仿宋" w:hAnsi="仿宋" w:eastAsia="仿宋" w:cs="宋体"/>
          <w:bCs/>
          <w:kern w:val="0"/>
          <w:lang w:bidi="ar"/>
        </w:rPr>
      </w:pPr>
      <w:r>
        <w:rPr>
          <w:rFonts w:hint="eastAsia" w:ascii="仿宋" w:hAnsi="仿宋" w:eastAsia="仿宋" w:cs="宋体"/>
          <w:bCs/>
          <w:kern w:val="0"/>
          <w:lang w:bidi="ar"/>
        </w:rPr>
        <w:t xml:space="preserve">    </w:t>
      </w:r>
      <w:r>
        <w:rPr>
          <w:rFonts w:ascii="仿宋" w:hAnsi="仿宋" w:eastAsia="仿宋" w:cs="宋体"/>
          <w:bCs/>
          <w:kern w:val="0"/>
          <w:lang w:bidi="ar"/>
        </w:rPr>
        <w:t>(2)科室管理：可以通过检索条件区域的科室名称进行检索，并通过导入区域</w:t>
      </w:r>
      <w:r>
        <w:rPr>
          <w:rFonts w:hint="eastAsia" w:ascii="仿宋" w:hAnsi="仿宋" w:eastAsia="仿宋" w:cs="宋体"/>
          <w:bCs/>
          <w:kern w:val="0"/>
          <w:lang w:bidi="ar"/>
        </w:rPr>
        <w:t>进行科室数据导入操作。</w:t>
      </w:r>
    </w:p>
    <w:p>
      <w:pPr>
        <w:pStyle w:val="7"/>
        <w:spacing w:line="360" w:lineRule="auto"/>
        <w:ind w:leftChars="0" w:firstLine="0" w:firstLineChars="0"/>
        <w:rPr>
          <w:rFonts w:ascii="仿宋" w:hAnsi="仿宋" w:eastAsia="仿宋"/>
        </w:rPr>
      </w:pPr>
      <w:r>
        <w:rPr>
          <w:rFonts w:hint="eastAsia" w:ascii="仿宋" w:hAnsi="仿宋" w:eastAsia="仿宋"/>
        </w:rPr>
        <w:t xml:space="preserve">     (3)可实现用户管理、角色管理、菜单管理、部门管理功能；用户管理：实现院内各用户管理，包括用户的增、删、改、查等操作以及角色和权限配置；角色管理：实现角色的增、删、改、查等操作，以及角色权限配置；菜单管理：实现系统功能菜单的增、删、改、查等操作，以及菜单权限分配配置；部门管理：实现院内各级部门的增、删、改、查等操作，以及部门权限分配配置。</w:t>
      </w:r>
    </w:p>
    <w:p>
      <w:pPr>
        <w:spacing w:line="360" w:lineRule="auto"/>
        <w:ind w:firstLine="480"/>
        <w:rPr>
          <w:rFonts w:ascii="仿宋" w:hAnsi="仿宋" w:eastAsia="仿宋" w:cs="宋体"/>
          <w:bCs/>
          <w:kern w:val="0"/>
          <w:lang w:bidi="ar"/>
        </w:rPr>
      </w:pPr>
    </w:p>
    <w:p>
      <w:pPr>
        <w:pStyle w:val="7"/>
        <w:spacing w:line="360" w:lineRule="auto"/>
        <w:ind w:left="360" w:leftChars="0" w:firstLine="0" w:firstLineChars="0"/>
        <w:rPr>
          <w:rFonts w:ascii="仿宋" w:hAnsi="仿宋" w:eastAsia="仿宋" w:cs="宋体"/>
          <w:bCs/>
          <w:kern w:val="0"/>
          <w:lang w:bidi="ar"/>
        </w:rPr>
      </w:pPr>
      <w:r>
        <w:rPr>
          <w:rFonts w:hint="eastAsia" w:ascii="仿宋" w:hAnsi="仿宋" w:eastAsia="仿宋" w:cs="宋体"/>
          <w:bCs/>
          <w:kern w:val="0"/>
          <w:lang w:bidi="ar"/>
        </w:rPr>
        <w:t xml:space="preserve">    </w:t>
      </w:r>
      <w:r>
        <w:rPr>
          <w:rFonts w:ascii="仿宋" w:hAnsi="仿宋" w:eastAsia="仿宋" w:cs="宋体"/>
          <w:bCs/>
          <w:kern w:val="0"/>
          <w:lang w:bidi="ar"/>
        </w:rPr>
        <w:t>二、软件运行需要满足医院现有的计算机操作系统（xp</w:t>
      </w:r>
      <w:r>
        <w:rPr>
          <w:rFonts w:hint="eastAsia" w:ascii="仿宋" w:hAnsi="仿宋" w:eastAsia="仿宋" w:cs="宋体"/>
          <w:bCs/>
          <w:kern w:val="0"/>
          <w:lang w:bidi="ar"/>
        </w:rPr>
        <w:t>\win7\win10\win11</w:t>
      </w:r>
      <w:r>
        <w:rPr>
          <w:rFonts w:ascii="仿宋" w:hAnsi="仿宋" w:eastAsia="仿宋" w:cs="宋体"/>
          <w:bCs/>
          <w:kern w:val="0"/>
          <w:lang w:bidi="ar"/>
        </w:rPr>
        <w:t>）</w:t>
      </w:r>
      <w:r>
        <w:rPr>
          <w:rFonts w:hint="eastAsia" w:ascii="仿宋" w:hAnsi="仿宋" w:eastAsia="仿宋" w:cs="宋体"/>
          <w:bCs/>
          <w:kern w:val="0"/>
          <w:lang w:bidi="ar"/>
        </w:rPr>
        <w:t>。安装和环境部署客户端没有数量上限要求；</w:t>
      </w:r>
    </w:p>
    <w:p>
      <w:pPr>
        <w:pStyle w:val="7"/>
        <w:spacing w:line="360" w:lineRule="auto"/>
        <w:ind w:left="360" w:leftChars="0" w:firstLine="0" w:firstLineChars="0"/>
        <w:rPr>
          <w:rFonts w:ascii="仿宋" w:hAnsi="仿宋" w:eastAsia="仿宋" w:cs="宋体"/>
          <w:bCs/>
          <w:kern w:val="0"/>
          <w:lang w:bidi="ar"/>
        </w:rPr>
      </w:pPr>
      <w:r>
        <w:rPr>
          <w:rFonts w:hint="eastAsia" w:ascii="仿宋" w:hAnsi="仿宋" w:eastAsia="仿宋" w:cs="宋体"/>
          <w:bCs/>
          <w:kern w:val="0"/>
          <w:lang w:bidi="ar"/>
        </w:rPr>
        <w:t xml:space="preserve">    三、软件运行的服务器必须上云，并确保无外网访问条件。所有工程师的操作必须通过VPN、堡垒机来登录服务器进行操作；</w:t>
      </w:r>
    </w:p>
    <w:p>
      <w:pPr>
        <w:tabs>
          <w:tab w:val="left" w:pos="720"/>
        </w:tabs>
        <w:autoSpaceDE w:val="0"/>
        <w:autoSpaceDN w:val="0"/>
        <w:adjustRightInd w:val="0"/>
        <w:spacing w:line="360" w:lineRule="auto"/>
        <w:ind w:right="17" w:firstLine="480" w:firstLineChars="200"/>
        <w:outlineLvl w:val="2"/>
        <w:rPr>
          <w:rFonts w:ascii="黑体" w:hAnsi="黑体" w:eastAsia="黑体" w:cs="仿宋"/>
          <w:sz w:val="24"/>
        </w:rPr>
      </w:pPr>
    </w:p>
    <w:p>
      <w:pPr>
        <w:tabs>
          <w:tab w:val="left" w:pos="720"/>
        </w:tabs>
        <w:autoSpaceDE w:val="0"/>
        <w:autoSpaceDN w:val="0"/>
        <w:adjustRightInd w:val="0"/>
        <w:spacing w:line="360" w:lineRule="auto"/>
        <w:ind w:right="17" w:firstLine="482" w:firstLineChars="200"/>
        <w:outlineLvl w:val="2"/>
        <w:rPr>
          <w:rFonts w:ascii="黑体" w:hAnsi="黑体" w:eastAsia="黑体" w:cs="仿宋"/>
          <w:b/>
          <w:bCs/>
          <w:kern w:val="0"/>
          <w:sz w:val="24"/>
        </w:rPr>
      </w:pPr>
      <w:r>
        <w:rPr>
          <w:rFonts w:hint="eastAsia" w:ascii="黑体" w:hAnsi="黑体" w:eastAsia="黑体" w:cs="仿宋"/>
          <w:b/>
          <w:sz w:val="24"/>
        </w:rPr>
        <w:t>四、</w:t>
      </w:r>
      <w:r>
        <w:rPr>
          <w:rFonts w:hint="eastAsia" w:ascii="黑体" w:hAnsi="黑体" w:eastAsia="黑体" w:cs="仿宋"/>
          <w:b/>
          <w:bCs/>
          <w:kern w:val="0"/>
          <w:sz w:val="24"/>
        </w:rPr>
        <w:t>关于验收</w:t>
      </w:r>
    </w:p>
    <w:p>
      <w:pPr>
        <w:tabs>
          <w:tab w:val="left" w:pos="720"/>
        </w:tabs>
        <w:autoSpaceDE w:val="0"/>
        <w:autoSpaceDN w:val="0"/>
        <w:adjustRightInd w:val="0"/>
        <w:spacing w:line="360" w:lineRule="auto"/>
        <w:ind w:right="17" w:firstLine="420" w:firstLineChars="200"/>
        <w:outlineLvl w:val="2"/>
        <w:rPr>
          <w:rFonts w:ascii="仿宋" w:hAnsi="仿宋" w:eastAsia="仿宋" w:cs="仿宋"/>
          <w:szCs w:val="21"/>
        </w:rPr>
      </w:pPr>
    </w:p>
    <w:p>
      <w:pPr>
        <w:pStyle w:val="6"/>
        <w:shd w:val="clear" w:color="auto" w:fill="FFFFFF"/>
        <w:spacing w:before="0" w:beforeAutospacing="0" w:after="300" w:afterAutospacing="0"/>
        <w:rPr>
          <w:rFonts w:ascii="仿宋" w:hAnsi="仿宋" w:eastAsia="仿宋" w:cs="Arial"/>
          <w:sz w:val="21"/>
          <w:szCs w:val="21"/>
        </w:rPr>
      </w:pPr>
      <w:r>
        <w:rPr>
          <w:rFonts w:ascii="仿宋" w:hAnsi="仿宋" w:eastAsia="仿宋" w:cs="Arial"/>
          <w:sz w:val="21"/>
          <w:szCs w:val="21"/>
        </w:rPr>
        <w:t>1. 功能测试：对系统的各项功能进行测试，确保系统的功能完整、正确、稳定。</w:t>
      </w:r>
    </w:p>
    <w:p>
      <w:pPr>
        <w:pStyle w:val="6"/>
        <w:shd w:val="clear" w:color="auto" w:fill="FFFFFF"/>
        <w:spacing w:before="0" w:beforeAutospacing="0" w:after="300" w:afterAutospacing="0"/>
        <w:rPr>
          <w:rFonts w:ascii="仿宋" w:hAnsi="仿宋" w:eastAsia="仿宋" w:cs="Arial"/>
          <w:sz w:val="21"/>
          <w:szCs w:val="21"/>
        </w:rPr>
      </w:pPr>
      <w:r>
        <w:rPr>
          <w:rFonts w:ascii="仿宋" w:hAnsi="仿宋" w:eastAsia="仿宋" w:cs="Arial"/>
          <w:sz w:val="21"/>
          <w:szCs w:val="21"/>
        </w:rPr>
        <w:t>2. 性能测试：对系统的性能进行测试，包括响应速度、并发能力、负载能力等，以保证系统的运行效率。</w:t>
      </w:r>
    </w:p>
    <w:p>
      <w:pPr>
        <w:pStyle w:val="6"/>
        <w:shd w:val="clear" w:color="auto" w:fill="FFFFFF"/>
        <w:spacing w:before="0" w:beforeAutospacing="0" w:after="300" w:afterAutospacing="0"/>
        <w:rPr>
          <w:rFonts w:ascii="仿宋" w:hAnsi="仿宋" w:eastAsia="仿宋" w:cs="Arial"/>
          <w:sz w:val="21"/>
          <w:szCs w:val="21"/>
        </w:rPr>
      </w:pPr>
      <w:r>
        <w:rPr>
          <w:rFonts w:ascii="仿宋" w:hAnsi="仿宋" w:eastAsia="仿宋" w:cs="Arial"/>
          <w:sz w:val="21"/>
          <w:szCs w:val="21"/>
        </w:rPr>
        <w:t>3. 安全测试：对系统的安全性进行测试，包括数据安全、身份认证、访问控制等，以保障系统的安全性。</w:t>
      </w:r>
    </w:p>
    <w:p>
      <w:pPr>
        <w:pStyle w:val="6"/>
        <w:shd w:val="clear" w:color="auto" w:fill="FFFFFF"/>
        <w:spacing w:before="0" w:beforeAutospacing="0" w:after="300" w:afterAutospacing="0"/>
        <w:rPr>
          <w:rFonts w:ascii="仿宋" w:hAnsi="仿宋" w:eastAsia="仿宋" w:cs="Arial"/>
          <w:sz w:val="21"/>
          <w:szCs w:val="21"/>
        </w:rPr>
      </w:pPr>
      <w:r>
        <w:rPr>
          <w:rFonts w:ascii="仿宋" w:hAnsi="仿宋" w:eastAsia="仿宋" w:cs="Arial"/>
          <w:sz w:val="21"/>
          <w:szCs w:val="21"/>
        </w:rPr>
        <w:t>4. 兼容性测试：对系统在不同平台、不同浏览器、不同设备上的兼容性进行测试，以确保系统的普适性。</w:t>
      </w:r>
    </w:p>
    <w:p>
      <w:pPr>
        <w:pStyle w:val="6"/>
        <w:shd w:val="clear" w:color="auto" w:fill="FFFFFF"/>
        <w:spacing w:before="0" w:beforeAutospacing="0" w:after="300" w:afterAutospacing="0"/>
        <w:rPr>
          <w:rFonts w:ascii="仿宋" w:hAnsi="仿宋" w:eastAsia="仿宋" w:cs="Arial"/>
          <w:sz w:val="21"/>
          <w:szCs w:val="21"/>
        </w:rPr>
      </w:pPr>
      <w:r>
        <w:rPr>
          <w:rFonts w:ascii="仿宋" w:hAnsi="仿宋" w:eastAsia="仿宋" w:cs="Arial"/>
          <w:sz w:val="21"/>
          <w:szCs w:val="21"/>
        </w:rPr>
        <w:t>5. 可用性测试：对系统的易用性进行测试，包括界面友好性、操作便捷性等，以提高用户体验。</w:t>
      </w:r>
    </w:p>
    <w:p>
      <w:pPr>
        <w:pStyle w:val="6"/>
        <w:shd w:val="clear" w:color="auto" w:fill="FFFFFF"/>
        <w:spacing w:before="0" w:beforeAutospacing="0" w:after="300" w:afterAutospacing="0"/>
        <w:rPr>
          <w:rFonts w:ascii="仿宋" w:hAnsi="仿宋" w:eastAsia="仿宋" w:cs="Arial"/>
          <w:sz w:val="21"/>
          <w:szCs w:val="21"/>
        </w:rPr>
      </w:pPr>
      <w:r>
        <w:rPr>
          <w:rFonts w:ascii="仿宋" w:hAnsi="仿宋" w:eastAsia="仿宋" w:cs="Arial"/>
          <w:sz w:val="21"/>
          <w:szCs w:val="21"/>
        </w:rPr>
        <w:t>6. 可维护性测试：对系统的可维护性进行测试，包括代码结构、注释、文档等，以方便后期的维护和升级。</w:t>
      </w:r>
    </w:p>
    <w:p>
      <w:pPr>
        <w:pStyle w:val="6"/>
        <w:shd w:val="clear" w:color="auto" w:fill="FFFFFF"/>
        <w:spacing w:before="0" w:beforeAutospacing="0" w:after="300" w:afterAutospacing="0"/>
        <w:rPr>
          <w:rFonts w:ascii="仿宋" w:hAnsi="仿宋" w:eastAsia="仿宋" w:cs="Arial"/>
          <w:sz w:val="21"/>
          <w:szCs w:val="21"/>
        </w:rPr>
      </w:pPr>
      <w:r>
        <w:rPr>
          <w:rFonts w:ascii="仿宋" w:hAnsi="仿宋" w:eastAsia="仿宋" w:cs="Arial"/>
          <w:sz w:val="21"/>
          <w:szCs w:val="21"/>
        </w:rPr>
        <w:t>7. 用户验收测试：由用户对系统进行测试，以验证系统是否符合用户需求和期望。</w:t>
      </w:r>
    </w:p>
    <w:p>
      <w:pPr>
        <w:spacing w:line="360" w:lineRule="auto"/>
        <w:rPr>
          <w:rFonts w:ascii="仿宋" w:hAnsi="仿宋" w:eastAsia="仿宋" w:cs="宋体"/>
          <w:bCs/>
          <w:kern w:val="0"/>
          <w:lang w:bidi="ar"/>
        </w:rPr>
      </w:pPr>
    </w:p>
    <w:p>
      <w:pPr>
        <w:tabs>
          <w:tab w:val="left" w:pos="720"/>
        </w:tabs>
        <w:autoSpaceDE w:val="0"/>
        <w:autoSpaceDN w:val="0"/>
        <w:adjustRightInd w:val="0"/>
        <w:spacing w:line="360" w:lineRule="auto"/>
        <w:ind w:right="17" w:firstLine="482" w:firstLineChars="200"/>
        <w:outlineLvl w:val="2"/>
        <w:rPr>
          <w:rFonts w:ascii="黑体" w:hAnsi="黑体" w:eastAsia="黑体" w:cs="仿宋"/>
          <w:b/>
          <w:bCs/>
          <w:kern w:val="0"/>
          <w:sz w:val="24"/>
        </w:rPr>
      </w:pPr>
      <w:r>
        <w:rPr>
          <w:rFonts w:hint="eastAsia" w:ascii="黑体" w:hAnsi="黑体" w:eastAsia="黑体" w:cs="仿宋"/>
          <w:b/>
          <w:sz w:val="24"/>
        </w:rPr>
        <w:t>五、</w:t>
      </w:r>
      <w:r>
        <w:rPr>
          <w:rFonts w:hint="eastAsia" w:ascii="黑体" w:hAnsi="黑体" w:eastAsia="黑体" w:cs="仿宋"/>
          <w:b/>
          <w:bCs/>
          <w:kern w:val="0"/>
          <w:sz w:val="24"/>
        </w:rPr>
        <w:t>成果权属与知识产权</w:t>
      </w:r>
    </w:p>
    <w:p>
      <w:pPr>
        <w:pStyle w:val="6"/>
        <w:tabs>
          <w:tab w:val="left" w:pos="720"/>
        </w:tabs>
        <w:autoSpaceDE w:val="0"/>
        <w:autoSpaceDN w:val="0"/>
        <w:adjustRightInd w:val="0"/>
        <w:spacing w:before="120" w:line="360" w:lineRule="auto"/>
        <w:ind w:right="17" w:firstLine="482"/>
        <w:outlineLvl w:val="1"/>
        <w:rPr>
          <w:rFonts w:ascii="仿宋" w:hAnsi="仿宋" w:eastAsia="仿宋" w:cs="仿宋"/>
          <w:sz w:val="21"/>
          <w:szCs w:val="21"/>
        </w:rPr>
      </w:pPr>
      <w:r>
        <w:rPr>
          <w:rFonts w:hint="eastAsia" w:ascii="仿宋" w:hAnsi="仿宋" w:eastAsia="仿宋" w:cs="仿宋"/>
          <w:sz w:val="21"/>
          <w:szCs w:val="21"/>
        </w:rPr>
        <w:t>1.本项目全部阶段性成果和最终成果（包括为后续服务范围所编制的文件）的知识产权以及与之相关的所有权利归采购人所有；本项目签署前双方已经拥有的知识产权权利，仍归各自所有。</w:t>
      </w:r>
    </w:p>
    <w:p>
      <w:pPr>
        <w:widowControl/>
        <w:spacing w:line="360" w:lineRule="auto"/>
        <w:ind w:firstLine="420" w:firstLineChars="200"/>
        <w:rPr>
          <w:rFonts w:ascii="仿宋" w:hAnsi="仿宋" w:eastAsia="仿宋" w:cs="仿宋"/>
          <w:szCs w:val="21"/>
        </w:rPr>
      </w:pPr>
      <w:r>
        <w:rPr>
          <w:rFonts w:hint="eastAsia" w:ascii="仿宋" w:hAnsi="仿宋" w:eastAsia="仿宋" w:cs="仿宋"/>
          <w:szCs w:val="21"/>
        </w:rPr>
        <w:t>2.所提交的全部中间成果和最终成果文件及任何数据、资料、软件等不得侵犯任何第三方的知识产权或其他权利，由于使用该等文件、数据、资料、软件侵权所导致的任何索赔或责任均由承担，同时，采购人保留要求赔偿相应损失的权利，包括但不限于上述索赔或责任所产生的诉讼费用、合理的律师费用、鉴定评估费用、调查费用、和解金额或生效法律文书中规定的赔偿金额。</w:t>
      </w:r>
    </w:p>
    <w:p>
      <w:pPr>
        <w:widowControl/>
        <w:spacing w:line="360" w:lineRule="auto"/>
        <w:ind w:firstLine="420" w:firstLineChars="200"/>
        <w:rPr>
          <w:rFonts w:ascii="仿宋" w:hAnsi="仿宋" w:eastAsia="仿宋" w:cs="仿宋"/>
          <w:szCs w:val="21"/>
        </w:rPr>
      </w:pPr>
      <w:r>
        <w:rPr>
          <w:rFonts w:hint="eastAsia" w:ascii="仿宋" w:hAnsi="仿宋" w:eastAsia="仿宋" w:cs="仿宋"/>
          <w:szCs w:val="21"/>
        </w:rPr>
        <w:t>3.未经采购人书面在先同意，不得将本项目的中间成果和最终成果文件及任何数据、资料、软件向任何第三方转让、授权任何第三方使用或用于本项目外的其他项目。如发生以上情况，应向采购人支付本项目总价款20%的违约金，如果违约金无法弥补采购人的损失，采购人有权要求赔偿全部损失。</w:t>
      </w:r>
    </w:p>
    <w:p>
      <w:pPr>
        <w:widowControl/>
        <w:spacing w:line="360" w:lineRule="auto"/>
        <w:ind w:firstLine="480" w:firstLineChars="200"/>
        <w:outlineLvl w:val="2"/>
        <w:rPr>
          <w:rFonts w:ascii="仿宋" w:hAnsi="仿宋" w:eastAsia="仿宋" w:cs="仿宋"/>
          <w:bCs/>
          <w:kern w:val="0"/>
          <w:sz w:val="24"/>
        </w:rPr>
      </w:pPr>
    </w:p>
    <w:p>
      <w:pPr>
        <w:widowControl/>
        <w:spacing w:line="360" w:lineRule="auto"/>
        <w:ind w:firstLine="480" w:firstLineChars="200"/>
        <w:outlineLvl w:val="2"/>
        <w:rPr>
          <w:rFonts w:ascii="黑体" w:hAnsi="黑体" w:eastAsia="黑体" w:cs="仿宋"/>
          <w:bCs/>
          <w:kern w:val="0"/>
          <w:sz w:val="24"/>
        </w:rPr>
      </w:pPr>
    </w:p>
    <w:p>
      <w:pPr>
        <w:widowControl/>
        <w:spacing w:line="360" w:lineRule="auto"/>
        <w:ind w:firstLine="482" w:firstLineChars="200"/>
        <w:outlineLvl w:val="2"/>
        <w:rPr>
          <w:rFonts w:ascii="黑体" w:hAnsi="黑体" w:eastAsia="黑体" w:cs="仿宋"/>
          <w:b/>
          <w:bCs/>
          <w:sz w:val="24"/>
        </w:rPr>
      </w:pPr>
      <w:r>
        <w:rPr>
          <w:rFonts w:hint="eastAsia" w:ascii="黑体" w:hAnsi="黑体" w:eastAsia="黑体" w:cs="仿宋"/>
          <w:b/>
          <w:bCs/>
          <w:kern w:val="0"/>
          <w:sz w:val="24"/>
        </w:rPr>
        <w:t>六、</w:t>
      </w:r>
      <w:r>
        <w:rPr>
          <w:rFonts w:hint="eastAsia" w:ascii="黑体" w:hAnsi="黑体" w:eastAsia="黑体" w:cs="仿宋"/>
          <w:b/>
          <w:bCs/>
          <w:sz w:val="24"/>
        </w:rPr>
        <w:t>保密条款</w:t>
      </w:r>
    </w:p>
    <w:p>
      <w:pPr>
        <w:widowControl/>
        <w:spacing w:line="360" w:lineRule="auto"/>
        <w:ind w:firstLine="420" w:firstLineChars="200"/>
        <w:rPr>
          <w:rFonts w:ascii="仿宋" w:hAnsi="仿宋" w:eastAsia="仿宋" w:cs="仿宋"/>
          <w:szCs w:val="21"/>
        </w:rPr>
      </w:pPr>
      <w:r>
        <w:rPr>
          <w:rFonts w:hint="eastAsia" w:ascii="仿宋" w:hAnsi="仿宋" w:eastAsia="仿宋" w:cs="仿宋"/>
          <w:szCs w:val="21"/>
        </w:rPr>
        <w:t>1.双方应保守的秘密是指不为公众所知悉、能为权利人带来经济利益、具有实用性并经权利人采取保密措施的技术信息和经营信息，或由双方在履行本项目过程中明确指明为秘密的、法律所认可的任何信息，以及在履行本项目过程中所获得或接触到的任何采购人内部数据资料。</w:t>
      </w:r>
    </w:p>
    <w:p>
      <w:pPr>
        <w:widowControl/>
        <w:spacing w:line="360" w:lineRule="auto"/>
        <w:ind w:firstLine="420" w:firstLineChars="200"/>
        <w:rPr>
          <w:rFonts w:ascii="仿宋" w:hAnsi="仿宋" w:eastAsia="仿宋" w:cs="仿宋"/>
          <w:szCs w:val="21"/>
        </w:rPr>
      </w:pPr>
      <w:r>
        <w:rPr>
          <w:rFonts w:hint="eastAsia" w:ascii="仿宋" w:hAnsi="仿宋" w:eastAsia="仿宋" w:cs="仿宋"/>
          <w:szCs w:val="21"/>
        </w:rPr>
        <w:t>2.双方应遵守国家的有关保密规定。妥善保管对方提供的资料，保守对方的各项秘密，并保护对方的知识产权。获取对方秘密的一方应当采取有效的保护方式防止秘密未经授权而被使用、传播或公开，仅可以将该秘密用于履行其在本项目项下的义务，且只能由相关的技术人员使用。</w:t>
      </w:r>
    </w:p>
    <w:p>
      <w:pPr>
        <w:widowControl/>
        <w:spacing w:line="360" w:lineRule="auto"/>
        <w:ind w:firstLine="420" w:firstLineChars="200"/>
        <w:rPr>
          <w:rFonts w:ascii="仿宋" w:hAnsi="仿宋" w:eastAsia="仿宋" w:cs="仿宋"/>
          <w:szCs w:val="21"/>
        </w:rPr>
      </w:pPr>
      <w:r>
        <w:rPr>
          <w:rFonts w:hint="eastAsia" w:ascii="仿宋" w:hAnsi="仿宋" w:eastAsia="仿宋" w:cs="仿宋"/>
          <w:szCs w:val="21"/>
        </w:rPr>
        <w:t>3.须以保密方式处理在编制本项目成果文件过程中自采购人、采购人工作人员或采购人关联机构获得的相关信息、资料、图纸、数据等，或由采购人在履行本项目过程中明确指明为秘密的任何信息，以及因本项目工作所直接或间接取得、处理或接触的任何其他资料。未经采购人书面在先同意，不得向任何第三方透露与本项目有关的内容，或公开本项目的阶段性成果或最终成果内容。即使向与履行本项目有关的人员提供前述保密信息，也应限于履行合同的必需范围，且这些人员应接受至少与本条款同等严格的保密条款的约束。未经采购人书面在先同意，不得向任何第三方透露与本项目有关的内容，或公开本项目任何中间成果或最终成果。</w:t>
      </w:r>
    </w:p>
    <w:p>
      <w:pPr>
        <w:widowControl/>
        <w:spacing w:line="360" w:lineRule="auto"/>
        <w:ind w:firstLine="420" w:firstLineChars="200"/>
        <w:rPr>
          <w:rFonts w:ascii="仿宋" w:hAnsi="仿宋" w:eastAsia="仿宋" w:cs="仿宋"/>
          <w:szCs w:val="21"/>
        </w:rPr>
      </w:pPr>
      <w:r>
        <w:rPr>
          <w:rFonts w:hint="eastAsia" w:ascii="仿宋" w:hAnsi="仿宋" w:eastAsia="仿宋" w:cs="仿宋"/>
          <w:szCs w:val="21"/>
        </w:rPr>
        <w:t>4.实施项目的程序应符合国家安全、保密的有关规定和标准。</w:t>
      </w:r>
    </w:p>
    <w:p>
      <w:pPr>
        <w:widowControl/>
        <w:spacing w:line="360" w:lineRule="auto"/>
        <w:ind w:firstLine="420" w:firstLineChars="200"/>
        <w:rPr>
          <w:rFonts w:ascii="仿宋" w:hAnsi="仿宋" w:eastAsia="仿宋" w:cs="仿宋"/>
          <w:szCs w:val="21"/>
        </w:rPr>
      </w:pPr>
      <w:r>
        <w:rPr>
          <w:rFonts w:hint="eastAsia" w:ascii="仿宋" w:hAnsi="仿宋" w:eastAsia="仿宋" w:cs="仿宋"/>
          <w:szCs w:val="21"/>
        </w:rPr>
        <w:t>5.上述保密义务不适用以下情况：</w:t>
      </w:r>
    </w:p>
    <w:p>
      <w:pPr>
        <w:widowControl/>
        <w:spacing w:line="360" w:lineRule="auto"/>
        <w:ind w:firstLine="420" w:firstLineChars="200"/>
        <w:rPr>
          <w:rFonts w:ascii="仿宋" w:hAnsi="仿宋" w:eastAsia="仿宋" w:cs="仿宋"/>
          <w:szCs w:val="21"/>
        </w:rPr>
      </w:pPr>
      <w:r>
        <w:rPr>
          <w:rFonts w:hint="eastAsia" w:ascii="仿宋" w:hAnsi="仿宋" w:eastAsia="仿宋" w:cs="仿宋"/>
          <w:szCs w:val="21"/>
        </w:rPr>
        <w:t>（1）获取的信息已被合法公开；</w:t>
      </w:r>
    </w:p>
    <w:p>
      <w:pPr>
        <w:widowControl/>
        <w:spacing w:line="360" w:lineRule="auto"/>
        <w:ind w:firstLine="420" w:firstLineChars="200"/>
        <w:rPr>
          <w:rFonts w:ascii="仿宋" w:hAnsi="仿宋" w:eastAsia="仿宋" w:cs="仿宋"/>
          <w:szCs w:val="21"/>
        </w:rPr>
      </w:pPr>
      <w:r>
        <w:rPr>
          <w:rFonts w:hint="eastAsia" w:ascii="仿宋" w:hAnsi="仿宋" w:eastAsia="仿宋" w:cs="仿宋"/>
          <w:szCs w:val="21"/>
        </w:rPr>
        <w:t>（2）获得信息拥有方书面许可并在该许可范围内披露；</w:t>
      </w:r>
    </w:p>
    <w:p>
      <w:pPr>
        <w:widowControl/>
        <w:spacing w:line="360" w:lineRule="auto"/>
        <w:ind w:firstLine="420" w:firstLineChars="200"/>
        <w:rPr>
          <w:rFonts w:ascii="仿宋" w:hAnsi="仿宋" w:eastAsia="仿宋" w:cs="仿宋"/>
          <w:szCs w:val="21"/>
        </w:rPr>
      </w:pPr>
      <w:r>
        <w:rPr>
          <w:rFonts w:hint="eastAsia" w:ascii="仿宋" w:hAnsi="仿宋" w:eastAsia="仿宋" w:cs="仿宋"/>
          <w:szCs w:val="21"/>
        </w:rPr>
        <w:t>（3）国家法律、法规规定的情形。</w:t>
      </w:r>
    </w:p>
    <w:p>
      <w:pPr>
        <w:widowControl/>
        <w:spacing w:line="360" w:lineRule="auto"/>
        <w:ind w:firstLine="420" w:firstLineChars="200"/>
        <w:rPr>
          <w:rFonts w:ascii="仿宋" w:hAnsi="仿宋" w:eastAsia="仿宋" w:cs="仿宋"/>
          <w:szCs w:val="21"/>
        </w:rPr>
      </w:pPr>
      <w:r>
        <w:rPr>
          <w:rFonts w:hint="eastAsia" w:ascii="仿宋" w:hAnsi="仿宋" w:eastAsia="仿宋" w:cs="仿宋"/>
          <w:szCs w:val="21"/>
        </w:rPr>
        <w:t>6.如违反上述保密条款，采购人有权解除本项目，应在合同解除通知发出之日起10日内向采购人支付本项目服务费总金额20%的违约金，如果违约金无法弥补采购人损失，采购人保留要求赔偿全部损失的权利。</w:t>
      </w:r>
    </w:p>
    <w:p>
      <w:pPr>
        <w:pStyle w:val="3"/>
        <w:ind w:firstLine="240" w:firstLineChars="100"/>
        <w:rPr>
          <w:rFonts w:cs="宋体"/>
          <w:sz w:val="24"/>
        </w:rPr>
      </w:pPr>
    </w:p>
    <w:p>
      <w:pPr>
        <w:pStyle w:val="2"/>
        <w:spacing w:line="20" w:lineRule="exact"/>
        <w:ind w:left="1129"/>
        <w:rPr>
          <w:rFonts w:ascii="宋体" w:hAnsi="宋体" w:cs="宋体"/>
          <w:bCs/>
        </w:rPr>
      </w:pPr>
    </w:p>
    <w:p>
      <w:pPr>
        <w:pStyle w:val="2"/>
        <w:spacing w:line="20" w:lineRule="exact"/>
        <w:ind w:left="1129"/>
        <w:rPr>
          <w:rFonts w:ascii="宋体" w:hAnsi="宋体" w:cs="宋体"/>
          <w:bCs/>
        </w:rPr>
      </w:pPr>
    </w:p>
    <w:p>
      <w:pPr>
        <w:pStyle w:val="3"/>
        <w:snapToGrid w:val="0"/>
        <w:spacing w:line="240" w:lineRule="auto"/>
        <w:ind w:left="0" w:leftChars="0" w:firstLine="240" w:firstLineChars="100"/>
        <w:rPr>
          <w:rFonts w:cs="宋体"/>
          <w:sz w:val="24"/>
        </w:rPr>
      </w:pPr>
    </w:p>
    <w:p>
      <w:pPr>
        <w:pStyle w:val="3"/>
        <w:snapToGrid w:val="0"/>
        <w:spacing w:line="240" w:lineRule="auto"/>
        <w:ind w:left="0" w:leftChars="0" w:firstLine="241" w:firstLineChars="100"/>
        <w:rPr>
          <w:rFonts w:ascii="黑体" w:hAnsi="黑体" w:eastAsia="黑体" w:cs="宋体"/>
          <w:b/>
          <w:sz w:val="24"/>
        </w:rPr>
      </w:pPr>
      <w:r>
        <w:rPr>
          <w:rFonts w:hint="eastAsia" w:ascii="黑体" w:hAnsi="黑体" w:eastAsia="黑体" w:cs="宋体"/>
          <w:b/>
          <w:sz w:val="24"/>
        </w:rPr>
        <w:t>七、 支付方式</w:t>
      </w:r>
    </w:p>
    <w:p>
      <w:pPr>
        <w:spacing w:line="312" w:lineRule="auto"/>
        <w:ind w:firstLine="420" w:firstLineChars="200"/>
        <w:rPr>
          <w:rFonts w:ascii="仿宋" w:hAnsi="仿宋" w:eastAsia="仿宋" w:cs="宋体"/>
          <w:szCs w:val="21"/>
        </w:rPr>
      </w:pPr>
      <w:r>
        <w:rPr>
          <w:rFonts w:hint="eastAsia" w:ascii="仿宋" w:hAnsi="仿宋" w:eastAsia="仿宋" w:cs="宋体"/>
          <w:szCs w:val="21"/>
        </w:rPr>
        <w:t>1、预付款</w:t>
      </w:r>
      <w:r>
        <w:rPr>
          <w:rFonts w:ascii="仿宋" w:hAnsi="仿宋" w:eastAsia="仿宋" w:cs="宋体"/>
          <w:szCs w:val="21"/>
        </w:rPr>
        <w:t>：</w:t>
      </w:r>
      <w:r>
        <w:rPr>
          <w:rFonts w:hint="eastAsia" w:ascii="仿宋" w:hAnsi="仿宋" w:eastAsia="仿宋" w:cs="宋体"/>
          <w:szCs w:val="21"/>
        </w:rPr>
        <w:t>项目合同签订生效后20个工作日内，支付合同额的</w:t>
      </w:r>
      <w:r>
        <w:rPr>
          <w:rFonts w:ascii="仿宋" w:hAnsi="仿宋" w:eastAsia="仿宋" w:cs="宋体"/>
          <w:szCs w:val="21"/>
        </w:rPr>
        <w:t>50%。</w:t>
      </w:r>
    </w:p>
    <w:p>
      <w:pPr>
        <w:spacing w:line="312" w:lineRule="auto"/>
        <w:ind w:firstLine="420" w:firstLineChars="200"/>
        <w:rPr>
          <w:rFonts w:ascii="仿宋" w:hAnsi="仿宋" w:eastAsia="仿宋" w:cs="宋体"/>
          <w:szCs w:val="21"/>
        </w:rPr>
      </w:pPr>
      <w:r>
        <w:rPr>
          <w:rFonts w:ascii="仿宋" w:hAnsi="仿宋" w:eastAsia="仿宋" w:cs="宋体"/>
          <w:szCs w:val="21"/>
        </w:rPr>
        <w:t xml:space="preserve">2、 </w:t>
      </w:r>
      <w:r>
        <w:rPr>
          <w:rFonts w:hint="eastAsia" w:ascii="仿宋" w:hAnsi="仿宋" w:eastAsia="仿宋" w:cs="宋体"/>
          <w:szCs w:val="21"/>
        </w:rPr>
        <w:t>进度款</w:t>
      </w:r>
      <w:r>
        <w:rPr>
          <w:rFonts w:ascii="仿宋" w:hAnsi="仿宋" w:eastAsia="仿宋" w:cs="宋体"/>
          <w:szCs w:val="21"/>
        </w:rPr>
        <w:t>：</w:t>
      </w:r>
      <w:r>
        <w:rPr>
          <w:rFonts w:hint="eastAsia" w:ascii="仿宋" w:hAnsi="仿宋" w:eastAsia="仿宋" w:cs="宋体"/>
          <w:szCs w:val="21"/>
        </w:rPr>
        <w:t>软件正式上线投入使用无不良问题反馈</w:t>
      </w:r>
      <w:r>
        <w:rPr>
          <w:rFonts w:ascii="仿宋" w:hAnsi="仿宋" w:eastAsia="仿宋" w:cs="宋体"/>
          <w:szCs w:val="21"/>
        </w:rPr>
        <w:t>，正常运转超过半年后。</w:t>
      </w:r>
      <w:r>
        <w:rPr>
          <w:rFonts w:hint="eastAsia" w:ascii="仿宋" w:hAnsi="仿宋" w:eastAsia="仿宋" w:cs="宋体"/>
          <w:szCs w:val="21"/>
        </w:rPr>
        <w:t>20个工作日内凭中标人出具的合同结算款正规发票支付合同额的40％</w:t>
      </w:r>
      <w:r>
        <w:rPr>
          <w:rFonts w:ascii="仿宋" w:hAnsi="仿宋" w:eastAsia="仿宋" w:cs="宋体"/>
          <w:szCs w:val="21"/>
        </w:rPr>
        <w:t>。</w:t>
      </w:r>
    </w:p>
    <w:p>
      <w:pPr>
        <w:spacing w:line="312" w:lineRule="auto"/>
        <w:ind w:firstLine="420" w:firstLineChars="200"/>
        <w:rPr>
          <w:rFonts w:ascii="仿宋" w:hAnsi="仿宋" w:eastAsia="仿宋" w:cs="宋体"/>
          <w:szCs w:val="21"/>
        </w:rPr>
      </w:pPr>
      <w:r>
        <w:rPr>
          <w:rFonts w:hint="eastAsia" w:ascii="仿宋" w:hAnsi="仿宋" w:eastAsia="仿宋" w:cs="宋体"/>
          <w:szCs w:val="21"/>
        </w:rPr>
        <w:t>3、尾款：项目在竣工决算办理完毕，在采购人书面确认验收合格后20个工作日内支付合同额的10%。</w:t>
      </w:r>
    </w:p>
    <w:p>
      <w:pPr>
        <w:spacing w:line="312" w:lineRule="auto"/>
        <w:ind w:firstLine="420" w:firstLineChars="200"/>
        <w:rPr>
          <w:rFonts w:ascii="仿宋" w:hAnsi="仿宋" w:eastAsia="仿宋" w:cs="宋体"/>
          <w:szCs w:val="21"/>
        </w:rPr>
      </w:pPr>
      <w:r>
        <w:rPr>
          <w:rFonts w:hint="eastAsia" w:ascii="仿宋" w:hAnsi="仿宋" w:eastAsia="仿宋" w:cs="宋体"/>
          <w:szCs w:val="21"/>
        </w:rPr>
        <w:t>4、中标人向采购人提供每笔应付金额的合法有效等额正式发票后，采购人向中标人付款，否则，采购人有权拒绝支付且不承担任何责任。使用财政资金的政府采购项目，采购人按照其结算程序向政府采购支付部门提出办理财政支付申请手续的即视为采购人已经按期支付。</w:t>
      </w:r>
    </w:p>
    <w:p>
      <w:pPr>
        <w:spacing w:line="360" w:lineRule="auto"/>
        <w:rPr>
          <w:rFonts w:ascii="仿宋" w:hAnsi="仿宋" w:eastAsia="仿宋" w:cs="宋体"/>
          <w:bCs/>
          <w:kern w:val="0"/>
          <w:lang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651786"/>
    <w:multiLevelType w:val="singleLevel"/>
    <w:tmpl w:val="98651786"/>
    <w:lvl w:ilvl="0" w:tentative="0">
      <w:start w:val="1"/>
      <w:numFmt w:val="decimal"/>
      <w:suff w:val="nothing"/>
      <w:lvlText w:val="%1、"/>
      <w:lvlJc w:val="left"/>
    </w:lvl>
  </w:abstractNum>
  <w:abstractNum w:abstractNumId="1">
    <w:nsid w:val="B878A6F5"/>
    <w:multiLevelType w:val="singleLevel"/>
    <w:tmpl w:val="B878A6F5"/>
    <w:lvl w:ilvl="0" w:tentative="0">
      <w:start w:val="1"/>
      <w:numFmt w:val="decimal"/>
      <w:suff w:val="nothing"/>
      <w:lvlText w:val="%1、"/>
      <w:lvlJc w:val="left"/>
    </w:lvl>
  </w:abstractNum>
  <w:abstractNum w:abstractNumId="2">
    <w:nsid w:val="D0032B66"/>
    <w:multiLevelType w:val="singleLevel"/>
    <w:tmpl w:val="D0032B66"/>
    <w:lvl w:ilvl="0" w:tentative="0">
      <w:start w:val="1"/>
      <w:numFmt w:val="decimal"/>
      <w:suff w:val="nothing"/>
      <w:lvlText w:val="（%1）"/>
      <w:lvlJc w:val="left"/>
    </w:lvl>
  </w:abstractNum>
  <w:abstractNum w:abstractNumId="3">
    <w:nsid w:val="0B72F999"/>
    <w:multiLevelType w:val="singleLevel"/>
    <w:tmpl w:val="0B72F999"/>
    <w:lvl w:ilvl="0" w:tentative="0">
      <w:start w:val="1"/>
      <w:numFmt w:val="decimal"/>
      <w:suff w:val="nothing"/>
      <w:lvlText w:val="%1、"/>
      <w:lvlJc w:val="left"/>
      <w:pPr>
        <w:ind w:left="960" w:firstLine="0"/>
      </w:pPr>
    </w:lvl>
  </w:abstractNum>
  <w:abstractNum w:abstractNumId="4">
    <w:nsid w:val="128F5D3A"/>
    <w:multiLevelType w:val="singleLevel"/>
    <w:tmpl w:val="128F5D3A"/>
    <w:lvl w:ilvl="0" w:tentative="0">
      <w:start w:val="1"/>
      <w:numFmt w:val="decimal"/>
      <w:suff w:val="nothing"/>
      <w:lvlText w:val="%1、"/>
      <w:lvlJc w:val="left"/>
      <w:pPr>
        <w:ind w:left="960" w:firstLine="0"/>
      </w:pPr>
    </w:lvl>
  </w:abstractNum>
  <w:abstractNum w:abstractNumId="5">
    <w:nsid w:val="149530FC"/>
    <w:multiLevelType w:val="singleLevel"/>
    <w:tmpl w:val="149530FC"/>
    <w:lvl w:ilvl="0" w:tentative="0">
      <w:start w:val="1"/>
      <w:numFmt w:val="decimal"/>
      <w:suff w:val="nothing"/>
      <w:lvlText w:val="%1、"/>
      <w:lvlJc w:val="left"/>
    </w:lvl>
  </w:abstractNum>
  <w:abstractNum w:abstractNumId="6">
    <w:nsid w:val="1BD85D84"/>
    <w:multiLevelType w:val="multilevel"/>
    <w:tmpl w:val="1BD85D84"/>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DA017BA"/>
    <w:multiLevelType w:val="singleLevel"/>
    <w:tmpl w:val="2DA017BA"/>
    <w:lvl w:ilvl="0" w:tentative="0">
      <w:start w:val="1"/>
      <w:numFmt w:val="decimal"/>
      <w:suff w:val="nothing"/>
      <w:lvlText w:val="（%1）"/>
      <w:lvlJc w:val="left"/>
      <w:pPr>
        <w:ind w:left="240" w:firstLine="0"/>
      </w:pPr>
      <w:rPr>
        <w:rFonts w:hint="default"/>
        <w:color w:val="auto"/>
      </w:rPr>
    </w:lvl>
  </w:abstractNum>
  <w:num w:numId="1">
    <w:abstractNumId w:val="5"/>
  </w:num>
  <w:num w:numId="2">
    <w:abstractNumId w:val="2"/>
  </w:num>
  <w:num w:numId="3">
    <w:abstractNumId w:val="1"/>
  </w:num>
  <w:num w:numId="4">
    <w:abstractNumId w:val="4"/>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iODAwNzI1ZDFiOGIwMGZiYWVkOThiYzdhMTlkMmEifQ=="/>
  </w:docVars>
  <w:rsids>
    <w:rsidRoot w:val="000073C0"/>
    <w:rsid w:val="000073C0"/>
    <w:rsid w:val="00040C6A"/>
    <w:rsid w:val="00227591"/>
    <w:rsid w:val="002B1296"/>
    <w:rsid w:val="002D2000"/>
    <w:rsid w:val="0031278D"/>
    <w:rsid w:val="003A47BD"/>
    <w:rsid w:val="003D275D"/>
    <w:rsid w:val="0049087E"/>
    <w:rsid w:val="004941F8"/>
    <w:rsid w:val="00551B10"/>
    <w:rsid w:val="00557174"/>
    <w:rsid w:val="00596A66"/>
    <w:rsid w:val="005D6980"/>
    <w:rsid w:val="007A047B"/>
    <w:rsid w:val="007E04B3"/>
    <w:rsid w:val="008F635C"/>
    <w:rsid w:val="00A4451F"/>
    <w:rsid w:val="00AF069D"/>
    <w:rsid w:val="00D6687D"/>
    <w:rsid w:val="54407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link w:val="15"/>
    <w:qFormat/>
    <w:uiPriority w:val="0"/>
    <w:pPr>
      <w:spacing w:after="120"/>
    </w:pPr>
    <w:rPr>
      <w:szCs w:val="24"/>
    </w:rPr>
  </w:style>
  <w:style w:type="paragraph" w:styleId="3">
    <w:name w:val="Body Text Indent"/>
    <w:basedOn w:val="1"/>
    <w:link w:val="13"/>
    <w:qFormat/>
    <w:uiPriority w:val="0"/>
    <w:pPr>
      <w:spacing w:line="360" w:lineRule="auto"/>
      <w:ind w:left="716" w:leftChars="341" w:firstLine="2"/>
    </w:pPr>
    <w:rPr>
      <w:rFonts w:ascii="宋体" w:hAnsi="宋体"/>
      <w:bCs/>
      <w:szCs w:val="24"/>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Body Text First Indent 2"/>
    <w:basedOn w:val="3"/>
    <w:link w:val="14"/>
    <w:semiHidden/>
    <w:unhideWhenUsed/>
    <w:uiPriority w:val="99"/>
    <w:pPr>
      <w:spacing w:after="120" w:line="240" w:lineRule="auto"/>
      <w:ind w:left="420" w:leftChars="200" w:firstLine="420" w:firstLineChars="200"/>
    </w:pPr>
    <w:rPr>
      <w:rFonts w:asciiTheme="minorHAnsi" w:hAnsiTheme="minorHAnsi"/>
      <w:bCs w:val="0"/>
      <w:szCs w:val="22"/>
    </w:rPr>
  </w:style>
  <w:style w:type="character" w:customStyle="1" w:styleId="10">
    <w:name w:val="页眉 Char"/>
    <w:basedOn w:val="9"/>
    <w:link w:val="5"/>
    <w:uiPriority w:val="99"/>
    <w:rPr>
      <w:sz w:val="18"/>
      <w:szCs w:val="18"/>
    </w:rPr>
  </w:style>
  <w:style w:type="character" w:customStyle="1" w:styleId="11">
    <w:name w:val="页脚 Char"/>
    <w:basedOn w:val="9"/>
    <w:link w:val="4"/>
    <w:uiPriority w:val="99"/>
    <w:rPr>
      <w:sz w:val="18"/>
      <w:szCs w:val="18"/>
    </w:rPr>
  </w:style>
  <w:style w:type="character" w:customStyle="1" w:styleId="12">
    <w:name w:val="正文文本缩进 Char"/>
    <w:basedOn w:val="9"/>
    <w:semiHidden/>
    <w:uiPriority w:val="99"/>
  </w:style>
  <w:style w:type="character" w:customStyle="1" w:styleId="13">
    <w:name w:val="正文文本缩进 Char1"/>
    <w:basedOn w:val="9"/>
    <w:link w:val="3"/>
    <w:qFormat/>
    <w:uiPriority w:val="0"/>
    <w:rPr>
      <w:rFonts w:ascii="宋体" w:hAnsi="宋体"/>
      <w:bCs/>
      <w:szCs w:val="24"/>
    </w:rPr>
  </w:style>
  <w:style w:type="character" w:customStyle="1" w:styleId="14">
    <w:name w:val="正文首行缩进 2 Char"/>
    <w:basedOn w:val="13"/>
    <w:link w:val="7"/>
    <w:semiHidden/>
    <w:uiPriority w:val="99"/>
    <w:rPr>
      <w:rFonts w:ascii="宋体" w:hAnsi="宋体"/>
      <w:bCs w:val="0"/>
      <w:szCs w:val="24"/>
    </w:rPr>
  </w:style>
  <w:style w:type="character" w:customStyle="1" w:styleId="15">
    <w:name w:val="正文文本 Char"/>
    <w:basedOn w:val="9"/>
    <w:link w:val="2"/>
    <w:qFormat/>
    <w:uiPriority w:val="0"/>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753</Words>
  <Characters>4297</Characters>
  <Lines>35</Lines>
  <Paragraphs>10</Paragraphs>
  <TotalTime>116</TotalTime>
  <ScaleCrop>false</ScaleCrop>
  <LinksUpToDate>false</LinksUpToDate>
  <CharactersWithSpaces>5040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2024-02-19T07:55:00Z</dcterms:created>
  <dc:creator>郑东宇</dc:creator>
  <cp:lastModifiedBy>9527</cp:lastModifiedBy>
  <dcterms:modified xsi:type="dcterms:W3CDTF">2024-03-05T01:31:17Z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92092B2627AD4D03970F2950C02C756A_12</vt:lpwstr>
  </property>
</Properties>
</file>