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r>
        <w:rPr>
          <w:rFonts w:hint="eastAsia"/>
          <w:b/>
          <w:sz w:val="36"/>
          <w:szCs w:val="36"/>
          <w:lang w:val="en-US" w:eastAsia="zh-CN"/>
        </w:rPr>
        <w:t>珠海市中西医结合医院</w:t>
      </w:r>
    </w:p>
    <w:p>
      <w:pPr>
        <w:jc w:val="center"/>
        <w:rPr>
          <w:rFonts w:hint="eastAsia"/>
          <w:b/>
          <w:sz w:val="28"/>
          <w:szCs w:val="28"/>
        </w:rPr>
      </w:pPr>
      <w:r>
        <w:rPr>
          <w:rFonts w:hint="eastAsia" w:ascii="Times New Roman" w:hAnsi="Times New Roman" w:eastAsia="宋体" w:cs="宋体"/>
          <w:b/>
          <w:bCs/>
          <w:kern w:val="0"/>
          <w:sz w:val="30"/>
          <w:szCs w:val="30"/>
          <w:lang w:val="en-US" w:eastAsia="zh-CN"/>
        </w:rPr>
        <w:t>拱北社区健康服务中心污水站运营维保</w:t>
      </w:r>
      <w:r>
        <w:rPr>
          <w:rFonts w:hint="eastAsia"/>
          <w:b/>
          <w:sz w:val="28"/>
          <w:szCs w:val="28"/>
          <w:lang w:val="en-US" w:eastAsia="zh-CN"/>
        </w:rPr>
        <w:t>项目招标</w:t>
      </w:r>
      <w:r>
        <w:rPr>
          <w:rFonts w:hint="eastAsia"/>
          <w:b/>
          <w:sz w:val="28"/>
          <w:szCs w:val="28"/>
        </w:rPr>
        <w:t>用户需求</w:t>
      </w:r>
    </w:p>
    <w:p>
      <w:pPr>
        <w:pStyle w:val="5"/>
        <w:snapToGrid w:val="0"/>
        <w:ind w:left="872" w:leftChars="229" w:hanging="391" w:hangingChars="139"/>
        <w:rPr>
          <w:rFonts w:hint="eastAsia" w:cs="宋体"/>
          <w:b/>
          <w:sz w:val="28"/>
          <w:szCs w:val="28"/>
        </w:rPr>
      </w:pPr>
      <w:r>
        <w:rPr>
          <w:rFonts w:hint="eastAsia" w:cs="宋体"/>
          <w:b/>
          <w:sz w:val="28"/>
          <w:szCs w:val="28"/>
        </w:rPr>
        <w:t>一、招标</w:t>
      </w:r>
      <w:r>
        <w:rPr>
          <w:rFonts w:hint="eastAsia" w:cs="宋体"/>
          <w:b/>
          <w:sz w:val="28"/>
          <w:szCs w:val="28"/>
          <w:lang w:val="en-US" w:eastAsia="zh-CN"/>
        </w:rPr>
        <w:t>项目</w:t>
      </w:r>
      <w:r>
        <w:rPr>
          <w:rFonts w:hint="eastAsia" w:cs="宋体"/>
          <w:b/>
          <w:sz w:val="28"/>
          <w:szCs w:val="28"/>
        </w:rPr>
        <w:t>概况</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outlineLvl w:val="9"/>
        <w:rPr>
          <w:rFonts w:hint="eastAsia" w:ascii="宋体" w:hAnsi="宋体" w:cs="宋体"/>
          <w:bCs/>
          <w:sz w:val="24"/>
        </w:rPr>
      </w:pPr>
      <w:r>
        <w:rPr>
          <w:rFonts w:hint="eastAsia" w:ascii="宋体" w:hAnsi="宋体" w:cs="宋体"/>
          <w:bCs/>
          <w:sz w:val="24"/>
        </w:rPr>
        <w:t>招标项目名称：</w:t>
      </w:r>
      <w:r>
        <w:rPr>
          <w:rFonts w:hint="eastAsia" w:ascii="宋体" w:hAnsi="宋体" w:eastAsia="宋体" w:cs="宋体"/>
          <w:b w:val="0"/>
          <w:bCs w:val="0"/>
          <w:spacing w:val="0"/>
          <w:kern w:val="21"/>
          <w:sz w:val="24"/>
          <w:szCs w:val="24"/>
          <w:lang w:val="en-US" w:eastAsia="zh-CN"/>
        </w:rPr>
        <w:t>珠海市香洲区拱北社区健康服务中心污水处理站运营维保项目</w:t>
      </w:r>
      <w:r>
        <w:rPr>
          <w:rFonts w:hint="eastAsia" w:ascii="宋体" w:hAnsi="宋体" w:cs="宋体"/>
          <w:b w:val="0"/>
          <w:bCs w:val="0"/>
          <w:spacing w:val="0"/>
          <w:kern w:val="21"/>
          <w:sz w:val="24"/>
          <w:szCs w:val="24"/>
          <w:lang w:val="en-US" w:eastAsia="zh-CN"/>
        </w:rPr>
        <w:t>。</w:t>
      </w:r>
    </w:p>
    <w:p>
      <w:pPr>
        <w:widowControl/>
        <w:numPr>
          <w:ilvl w:val="0"/>
          <w:numId w:val="1"/>
        </w:numPr>
        <w:adjustRightInd w:val="0"/>
        <w:snapToGrid w:val="0"/>
        <w:spacing w:line="360" w:lineRule="auto"/>
        <w:ind w:left="0" w:leftChars="0" w:firstLine="480" w:firstLineChars="200"/>
        <w:jc w:val="left"/>
        <w:rPr>
          <w:rFonts w:hint="eastAsia" w:ascii="宋体" w:hAnsi="宋体" w:eastAsia="宋体" w:cs="宋体"/>
          <w:b w:val="0"/>
          <w:bCs w:val="0"/>
          <w:color w:val="auto"/>
          <w:spacing w:val="0"/>
          <w:kern w:val="21"/>
          <w:sz w:val="24"/>
          <w:szCs w:val="24"/>
          <w:lang w:val="en-US" w:eastAsia="zh-CN"/>
        </w:rPr>
      </w:pPr>
      <w:r>
        <w:rPr>
          <w:rFonts w:hint="eastAsia" w:ascii="宋体" w:hAnsi="宋体" w:cs="宋体"/>
          <w:bCs/>
          <w:sz w:val="24"/>
        </w:rPr>
        <w:t>项目地点：</w:t>
      </w:r>
      <w:r>
        <w:rPr>
          <w:rFonts w:hint="eastAsia" w:ascii="宋体" w:hAnsi="宋体" w:eastAsia="宋体" w:cs="宋体"/>
          <w:b w:val="0"/>
          <w:bCs w:val="0"/>
          <w:spacing w:val="0"/>
          <w:kern w:val="21"/>
          <w:sz w:val="24"/>
          <w:szCs w:val="24"/>
          <w:lang w:val="en-US" w:eastAsia="zh-CN"/>
        </w:rPr>
        <w:t>珠海市香洲区拱北社区健康服务中心</w:t>
      </w:r>
      <w:r>
        <w:rPr>
          <w:rFonts w:hint="eastAsia" w:ascii="宋体" w:hAnsi="宋体" w:eastAsia="宋体" w:cs="宋体"/>
          <w:b w:val="0"/>
          <w:bCs w:val="0"/>
          <w:color w:val="auto"/>
          <w:spacing w:val="0"/>
          <w:kern w:val="21"/>
          <w:sz w:val="24"/>
          <w:szCs w:val="24"/>
          <w:lang w:val="en-US" w:eastAsia="zh-CN"/>
        </w:rPr>
        <w:t>拱北莲花路289号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outlineLvl w:val="9"/>
        <w:rPr>
          <w:rFonts w:hint="eastAsia" w:ascii="宋体" w:hAnsi="宋体" w:eastAsia="宋体" w:cs="宋体"/>
          <w:b w:val="0"/>
          <w:bCs w:val="0"/>
          <w:spacing w:val="0"/>
          <w:kern w:val="21"/>
          <w:sz w:val="24"/>
          <w:szCs w:val="24"/>
          <w:lang w:val="en-US" w:eastAsia="zh-CN"/>
        </w:rPr>
      </w:pPr>
      <w:r>
        <w:rPr>
          <w:rFonts w:hint="eastAsia" w:ascii="宋体" w:hAnsi="宋体" w:cs="宋体"/>
          <w:bCs/>
          <w:sz w:val="24"/>
        </w:rPr>
        <w:t>项目内容:按照国家及行业标准规定对</w:t>
      </w:r>
      <w:r>
        <w:rPr>
          <w:rFonts w:hint="eastAsia" w:ascii="宋体" w:hAnsi="宋体" w:eastAsia="宋体" w:cs="宋体"/>
          <w:b w:val="0"/>
          <w:bCs w:val="0"/>
          <w:spacing w:val="0"/>
          <w:kern w:val="21"/>
          <w:sz w:val="24"/>
          <w:szCs w:val="24"/>
          <w:lang w:val="en-US" w:eastAsia="zh-CN"/>
        </w:rPr>
        <w:t>珠海市香洲区拱北社区健康服务中心污水处理站运营维保。</w:t>
      </w:r>
    </w:p>
    <w:p>
      <w:pPr>
        <w:widowControl/>
        <w:numPr>
          <w:ilvl w:val="0"/>
          <w:numId w:val="1"/>
        </w:numPr>
        <w:adjustRightInd w:val="0"/>
        <w:snapToGrid w:val="0"/>
        <w:spacing w:line="360" w:lineRule="auto"/>
        <w:ind w:left="0" w:leftChars="0" w:firstLine="480" w:firstLineChars="200"/>
        <w:jc w:val="left"/>
        <w:rPr>
          <w:rFonts w:hint="eastAsia" w:ascii="宋体" w:hAnsi="宋体" w:cs="宋体"/>
          <w:bCs/>
          <w:sz w:val="24"/>
          <w:lang w:eastAsia="zh-CN"/>
        </w:rPr>
      </w:pPr>
      <w:r>
        <w:rPr>
          <w:rFonts w:hint="eastAsia" w:ascii="宋体" w:hAnsi="宋体" w:cs="宋体"/>
          <w:bCs/>
          <w:sz w:val="24"/>
          <w:lang w:val="en-US" w:eastAsia="zh-CN"/>
        </w:rPr>
        <w:t>项目维保期限</w:t>
      </w:r>
      <w:r>
        <w:rPr>
          <w:rFonts w:hint="eastAsia" w:ascii="宋体" w:hAnsi="宋体" w:cs="宋体"/>
          <w:bCs/>
          <w:sz w:val="24"/>
          <w:lang w:eastAsia="zh-CN"/>
        </w:rPr>
        <w:t>：一年。</w:t>
      </w:r>
    </w:p>
    <w:p>
      <w:pPr>
        <w:widowControl/>
        <w:numPr>
          <w:ilvl w:val="0"/>
          <w:numId w:val="0"/>
        </w:numPr>
        <w:adjustRightInd w:val="0"/>
        <w:snapToGrid w:val="0"/>
        <w:spacing w:line="360" w:lineRule="auto"/>
        <w:ind w:firstLine="281" w:firstLineChars="100"/>
        <w:jc w:val="left"/>
        <w:rPr>
          <w:rFonts w:hint="eastAsia" w:ascii="宋体" w:hAnsi="宋体" w:cs="宋体"/>
          <w:b/>
          <w:bCs w:val="0"/>
          <w:sz w:val="28"/>
          <w:szCs w:val="28"/>
          <w:lang w:eastAsia="zh-CN"/>
        </w:rPr>
      </w:pPr>
      <w:r>
        <w:rPr>
          <w:rFonts w:hint="eastAsia" w:ascii="宋体" w:hAnsi="宋体" w:cs="宋体"/>
          <w:b/>
          <w:bCs w:val="0"/>
          <w:sz w:val="28"/>
          <w:szCs w:val="28"/>
          <w:lang w:val="en-US" w:eastAsia="zh-CN"/>
        </w:rPr>
        <w:t>二</w:t>
      </w:r>
      <w:r>
        <w:rPr>
          <w:rFonts w:hint="eastAsia" w:ascii="宋体" w:hAnsi="宋体" w:cs="宋体"/>
          <w:b/>
          <w:bCs w:val="0"/>
          <w:sz w:val="28"/>
          <w:szCs w:val="28"/>
          <w:lang w:eastAsia="zh-CN"/>
        </w:rPr>
        <w:t>、资质要求</w:t>
      </w:r>
    </w:p>
    <w:p>
      <w:pPr>
        <w:widowControl/>
        <w:numPr>
          <w:ilvl w:val="0"/>
          <w:numId w:val="2"/>
        </w:numPr>
        <w:adjustRightInd w:val="0"/>
        <w:snapToGrid w:val="0"/>
        <w:spacing w:line="360" w:lineRule="auto"/>
        <w:ind w:left="-60" w:leftChars="0" w:firstLine="480" w:firstLineChars="0"/>
        <w:jc w:val="left"/>
        <w:rPr>
          <w:rFonts w:hint="eastAsia" w:ascii="宋体" w:hAnsi="宋体" w:eastAsia="宋体" w:cs="宋体"/>
          <w:bCs/>
          <w:sz w:val="24"/>
          <w:lang w:eastAsia="zh-CN"/>
        </w:rPr>
      </w:pPr>
      <w:r>
        <w:rPr>
          <w:rFonts w:hint="eastAsia" w:ascii="宋体" w:hAnsi="宋体" w:eastAsia="宋体" w:cs="宋体"/>
          <w:bCs/>
          <w:sz w:val="24"/>
          <w:lang w:eastAsia="zh-CN"/>
        </w:rPr>
        <w:t>投标人具有独立法人资格，提供有效的营业执照复印件。</w:t>
      </w:r>
    </w:p>
    <w:p>
      <w:pPr>
        <w:widowControl/>
        <w:numPr>
          <w:ilvl w:val="0"/>
          <w:numId w:val="2"/>
        </w:numPr>
        <w:adjustRightInd w:val="0"/>
        <w:snapToGrid w:val="0"/>
        <w:spacing w:line="360" w:lineRule="auto"/>
        <w:ind w:left="-60" w:leftChars="0" w:firstLine="480" w:firstLineChars="0"/>
        <w:jc w:val="left"/>
        <w:rPr>
          <w:rFonts w:hint="eastAsia" w:ascii="宋体" w:hAnsi="宋体" w:eastAsia="宋体" w:cs="宋体"/>
          <w:bCs/>
          <w:sz w:val="24"/>
          <w:lang w:eastAsia="zh-CN"/>
        </w:rPr>
      </w:pPr>
      <w:r>
        <w:rPr>
          <w:rFonts w:hint="eastAsia" w:ascii="宋体" w:hAnsi="宋体" w:eastAsia="宋体" w:cs="宋体"/>
          <w:bCs/>
          <w:sz w:val="24"/>
          <w:lang w:eastAsia="zh-CN"/>
        </w:rPr>
        <w:t>投标人</w:t>
      </w:r>
      <w:r>
        <w:rPr>
          <w:rFonts w:hint="eastAsia" w:ascii="宋体" w:hAnsi="宋体" w:cs="宋体"/>
          <w:bCs/>
          <w:sz w:val="24"/>
          <w:lang w:val="en-US" w:eastAsia="zh-CN"/>
        </w:rPr>
        <w:t>操作员</w:t>
      </w:r>
      <w:r>
        <w:rPr>
          <w:rFonts w:hint="eastAsia" w:ascii="宋体" w:hAnsi="宋体" w:eastAsia="宋体" w:cs="宋体"/>
          <w:bCs/>
          <w:sz w:val="24"/>
          <w:lang w:eastAsia="zh-CN"/>
        </w:rPr>
        <w:t>具有污废水处理工证书。</w:t>
      </w:r>
      <w:r>
        <w:rPr>
          <w:rFonts w:hint="eastAsia" w:ascii="宋体" w:hAnsi="宋体" w:eastAsia="宋体" w:cs="宋体"/>
          <w:bCs/>
          <w:sz w:val="24"/>
          <w:lang w:val="en-US" w:eastAsia="zh-CN"/>
        </w:rPr>
        <w:t>须提供人员证书及开标前3个月（不含开标当月）社保证明复印件(加盖</w:t>
      </w:r>
      <w:r>
        <w:rPr>
          <w:rFonts w:hint="eastAsia" w:ascii="宋体" w:hAnsi="宋体" w:eastAsia="宋体" w:cs="宋体"/>
          <w:bCs/>
          <w:sz w:val="24"/>
          <w:lang w:eastAsia="zh-CN"/>
        </w:rPr>
        <w:t>投标人</w:t>
      </w:r>
      <w:r>
        <w:rPr>
          <w:rFonts w:hint="eastAsia" w:ascii="宋体" w:hAnsi="宋体" w:eastAsia="宋体" w:cs="宋体"/>
          <w:bCs/>
          <w:sz w:val="24"/>
          <w:lang w:val="en-US" w:eastAsia="zh-CN"/>
        </w:rPr>
        <w:t>公章)</w:t>
      </w:r>
    </w:p>
    <w:p>
      <w:pPr>
        <w:widowControl/>
        <w:numPr>
          <w:ilvl w:val="0"/>
          <w:numId w:val="2"/>
        </w:numPr>
        <w:adjustRightInd w:val="0"/>
        <w:snapToGrid w:val="0"/>
        <w:spacing w:line="360" w:lineRule="auto"/>
        <w:ind w:left="-60" w:leftChars="0" w:firstLine="480" w:firstLineChars="0"/>
        <w:jc w:val="left"/>
        <w:rPr>
          <w:rFonts w:hint="eastAsia" w:ascii="宋体" w:hAnsi="宋体" w:eastAsia="宋体" w:cs="宋体"/>
          <w:bCs/>
          <w:sz w:val="24"/>
          <w:lang w:eastAsia="zh-CN"/>
        </w:rPr>
      </w:pPr>
      <w:r>
        <w:rPr>
          <w:rFonts w:hint="eastAsia" w:ascii="宋体" w:hAnsi="宋体" w:eastAsia="宋体" w:cs="宋体"/>
          <w:bCs/>
          <w:sz w:val="24"/>
          <w:lang w:eastAsia="zh-CN"/>
        </w:rPr>
        <w:t>投标人有</w:t>
      </w:r>
      <w:r>
        <w:rPr>
          <w:rFonts w:hint="eastAsia" w:ascii="宋体" w:hAnsi="宋体" w:eastAsia="宋体" w:cs="宋体"/>
          <w:bCs/>
          <w:sz w:val="24"/>
          <w:lang w:val="en-US" w:eastAsia="zh-CN"/>
        </w:rPr>
        <w:t>相关项目经验：有2019-2021年间同类项目业绩</w:t>
      </w:r>
      <w:r>
        <w:rPr>
          <w:rFonts w:hint="eastAsia" w:ascii="宋体" w:hAnsi="宋体" w:cs="宋体"/>
          <w:bCs/>
          <w:sz w:val="24"/>
          <w:lang w:val="en-US" w:eastAsia="zh-CN"/>
        </w:rPr>
        <w:t>3例</w:t>
      </w:r>
      <w:r>
        <w:rPr>
          <w:rFonts w:hint="eastAsia" w:ascii="宋体" w:hAnsi="宋体" w:eastAsia="宋体" w:cs="宋体"/>
          <w:bCs/>
          <w:sz w:val="24"/>
          <w:lang w:val="en-US" w:eastAsia="zh-CN"/>
        </w:rPr>
        <w:t>并提供满意及以上等级的佐证材料。</w:t>
      </w:r>
    </w:p>
    <w:p>
      <w:pPr>
        <w:widowControl/>
        <w:numPr>
          <w:ilvl w:val="0"/>
          <w:numId w:val="2"/>
        </w:numPr>
        <w:adjustRightInd w:val="0"/>
        <w:snapToGrid w:val="0"/>
        <w:spacing w:line="360" w:lineRule="auto"/>
        <w:ind w:left="-60" w:leftChars="0" w:firstLine="480" w:firstLineChars="0"/>
        <w:jc w:val="left"/>
        <w:rPr>
          <w:rFonts w:hint="eastAsia" w:ascii="宋体" w:hAnsi="宋体" w:eastAsia="宋体" w:cs="宋体"/>
          <w:bCs/>
          <w:sz w:val="24"/>
          <w:lang w:eastAsia="zh-CN"/>
        </w:rPr>
      </w:pPr>
      <w:r>
        <w:rPr>
          <w:rFonts w:hint="eastAsia" w:ascii="宋体" w:hAnsi="宋体" w:eastAsia="宋体" w:cs="宋体"/>
          <w:bCs/>
          <w:sz w:val="24"/>
          <w:lang w:eastAsia="zh-CN"/>
        </w:rPr>
        <w:t>信用要求：投标人在“信用中国”（www.creditchina.gov.cn）、“中国政府采购网”（www.ccgp.gov.cn）没有被列入失信被执行人、重大税收违法案件当事人名单、政府采购严重违法失信行为记录名单（提供上述网站的信用记录查询结果打印或网页截图页面加盖投标人公章），工商注册地在珠海市的投标人还须同时提供“信用中国（广东珠海）”（http://credit.zhuhai.gov.cn/）的</w:t>
      </w:r>
      <w:r>
        <w:rPr>
          <w:rFonts w:hint="eastAsia" w:ascii="宋体" w:hAnsi="宋体" w:eastAsia="宋体" w:cs="宋体"/>
          <w:b w:val="0"/>
          <w:bCs w:val="0"/>
          <w:spacing w:val="0"/>
          <w:kern w:val="21"/>
          <w:sz w:val="24"/>
          <w:szCs w:val="24"/>
        </w:rPr>
        <w:t>信用记录查询结果</w:t>
      </w:r>
      <w:r>
        <w:rPr>
          <w:rFonts w:hint="eastAsia" w:ascii="宋体" w:hAnsi="宋体" w:cs="宋体"/>
          <w:b w:val="0"/>
          <w:bCs w:val="0"/>
          <w:spacing w:val="0"/>
          <w:kern w:val="21"/>
          <w:sz w:val="24"/>
          <w:szCs w:val="24"/>
          <w:lang w:eastAsia="zh-CN"/>
        </w:rPr>
        <w:t>。</w:t>
      </w:r>
    </w:p>
    <w:p>
      <w:pPr>
        <w:widowControl/>
        <w:numPr>
          <w:ilvl w:val="0"/>
          <w:numId w:val="0"/>
        </w:numPr>
        <w:adjustRightInd w:val="0"/>
        <w:snapToGrid w:val="0"/>
        <w:spacing w:line="360" w:lineRule="auto"/>
        <w:ind w:firstLine="281" w:firstLineChars="100"/>
        <w:jc w:val="left"/>
        <w:rPr>
          <w:rFonts w:hint="eastAsia" w:ascii="宋体" w:hAnsi="宋体" w:cs="宋体"/>
          <w:b/>
          <w:bCs w:val="0"/>
          <w:sz w:val="28"/>
          <w:szCs w:val="28"/>
          <w:lang w:eastAsia="zh-CN"/>
        </w:rPr>
      </w:pPr>
      <w:r>
        <w:rPr>
          <w:rFonts w:hint="eastAsia" w:ascii="宋体" w:hAnsi="宋体" w:cs="宋体"/>
          <w:b/>
          <w:bCs w:val="0"/>
          <w:sz w:val="28"/>
          <w:szCs w:val="28"/>
          <w:lang w:eastAsia="zh-CN"/>
        </w:rPr>
        <w:t>三、</w:t>
      </w:r>
      <w:r>
        <w:rPr>
          <w:rFonts w:hint="eastAsia" w:ascii="宋体" w:hAnsi="宋体" w:eastAsia="宋体" w:cs="宋体"/>
          <w:b/>
          <w:bCs w:val="0"/>
          <w:sz w:val="28"/>
          <w:szCs w:val="28"/>
          <w:lang w:eastAsia="zh-CN"/>
        </w:rPr>
        <w:t>运</w:t>
      </w:r>
      <w:r>
        <w:rPr>
          <w:rFonts w:hint="eastAsia" w:ascii="宋体" w:hAnsi="宋体" w:cs="宋体"/>
          <w:b/>
          <w:bCs w:val="0"/>
          <w:sz w:val="28"/>
          <w:szCs w:val="28"/>
          <w:lang w:val="en-US" w:eastAsia="zh-CN"/>
        </w:rPr>
        <w:t>维</w:t>
      </w:r>
      <w:r>
        <w:rPr>
          <w:rFonts w:hint="eastAsia" w:ascii="宋体" w:hAnsi="宋体" w:eastAsia="宋体" w:cs="宋体"/>
          <w:b/>
          <w:bCs w:val="0"/>
          <w:sz w:val="28"/>
          <w:szCs w:val="28"/>
          <w:lang w:eastAsia="zh-CN"/>
        </w:rPr>
        <w:t>服务内容</w:t>
      </w:r>
    </w:p>
    <w:p>
      <w:pPr>
        <w:widowControl/>
        <w:numPr>
          <w:ilvl w:val="0"/>
          <w:numId w:val="0"/>
        </w:numPr>
        <w:adjustRightInd w:val="0"/>
        <w:snapToGrid w:val="0"/>
        <w:spacing w:line="360" w:lineRule="auto"/>
        <w:ind w:left="420" w:leftChars="0" w:firstLine="281" w:firstLineChars="100"/>
        <w:jc w:val="left"/>
        <w:rPr>
          <w:rFonts w:hint="eastAsia" w:ascii="宋体" w:hAnsi="宋体" w:eastAsia="宋体" w:cs="宋体"/>
          <w:bCs/>
          <w:sz w:val="28"/>
          <w:szCs w:val="28"/>
          <w:lang w:eastAsia="zh-CN"/>
        </w:rPr>
      </w:pPr>
      <w:r>
        <w:rPr>
          <w:rFonts w:hint="eastAsia" w:ascii="宋体" w:hAnsi="宋体" w:eastAsia="宋体" w:cs="宋体"/>
          <w:b/>
          <w:bCs w:val="0"/>
          <w:sz w:val="28"/>
          <w:szCs w:val="28"/>
          <w:lang w:eastAsia="zh-CN"/>
        </w:rPr>
        <w:t>运营服务内容</w:t>
      </w:r>
      <w:r>
        <w:rPr>
          <w:rFonts w:hint="eastAsia" w:ascii="宋体" w:hAnsi="宋体" w:cs="宋体"/>
          <w:b/>
          <w:bCs w:val="0"/>
          <w:sz w:val="28"/>
          <w:szCs w:val="28"/>
          <w:lang w:eastAsia="zh-CN"/>
        </w:rPr>
        <w:t>（</w:t>
      </w:r>
      <w:r>
        <w:rPr>
          <w:rFonts w:hint="eastAsia" w:ascii="宋体" w:hAnsi="宋体" w:eastAsia="宋体" w:cs="宋体"/>
          <w:b w:val="0"/>
          <w:bCs/>
          <w:sz w:val="24"/>
          <w:lang w:eastAsia="zh-CN"/>
        </w:rPr>
        <w:t>管理技术标准及目标</w:t>
      </w:r>
      <w:r>
        <w:rPr>
          <w:rFonts w:hint="eastAsia" w:ascii="宋体" w:hAnsi="宋体" w:cs="宋体"/>
          <w:b/>
          <w:bCs w:val="0"/>
          <w:sz w:val="28"/>
          <w:szCs w:val="28"/>
          <w:lang w:eastAsia="zh-CN"/>
        </w:rPr>
        <w:t>）</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中标人</w:t>
      </w:r>
      <w:r>
        <w:rPr>
          <w:rFonts w:hint="eastAsia" w:ascii="宋体" w:hAnsi="宋体" w:eastAsia="宋体" w:cs="宋体"/>
          <w:bCs/>
          <w:sz w:val="24"/>
          <w:lang w:eastAsia="zh-CN"/>
        </w:rPr>
        <w:t>保证排放的污水符合环保等相关主管部门要求的排放标准。</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中标人</w:t>
      </w:r>
      <w:r>
        <w:rPr>
          <w:rFonts w:hint="eastAsia" w:ascii="宋体" w:hAnsi="宋体" w:eastAsia="宋体" w:cs="宋体"/>
          <w:bCs/>
          <w:sz w:val="24"/>
          <w:lang w:eastAsia="zh-CN"/>
        </w:rPr>
        <w:t>保证污水的各项污染物排放指标达到《医疗机构水污染物排放标准》(GB18466-2005)中《综合医疗机构和其他医疗机构水污染物排放限值（日均值）》的预处理标准。</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中标人</w:t>
      </w:r>
      <w:r>
        <w:rPr>
          <w:rFonts w:hint="eastAsia" w:ascii="宋体" w:hAnsi="宋体" w:eastAsia="宋体" w:cs="宋体"/>
          <w:bCs/>
          <w:sz w:val="24"/>
          <w:lang w:eastAsia="zh-CN"/>
        </w:rPr>
        <w:t>保证出水排放及出水水质符合国家标准和地方及行业行政管理部门的相关环保要求，保障污水处理设备运行正常，保持污水站周围环境卫生清洁。</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中标人</w:t>
      </w:r>
      <w:r>
        <w:rPr>
          <w:rFonts w:hint="eastAsia" w:ascii="宋体" w:hAnsi="宋体" w:eastAsia="宋体" w:cs="宋体"/>
          <w:bCs/>
          <w:sz w:val="24"/>
          <w:lang w:eastAsia="zh-CN"/>
        </w:rPr>
        <w:t>严格按照污水处理管理程序每天认真组织投放定量药物（</w:t>
      </w:r>
      <w:r>
        <w:rPr>
          <w:rFonts w:hint="eastAsia" w:ascii="宋体" w:hAnsi="宋体" w:eastAsia="宋体" w:cs="宋体"/>
          <w:bCs/>
          <w:sz w:val="24"/>
          <w:lang w:val="en-US" w:eastAsia="zh-CN"/>
        </w:rPr>
        <w:t>次氯酸钠</w:t>
      </w:r>
      <w:r>
        <w:rPr>
          <w:rFonts w:hint="eastAsia" w:ascii="宋体" w:hAnsi="宋体" w:eastAsia="宋体" w:cs="宋体"/>
          <w:bCs/>
          <w:sz w:val="24"/>
          <w:lang w:eastAsia="zh-CN"/>
        </w:rPr>
        <w:t>）</w:t>
      </w:r>
      <w:r>
        <w:rPr>
          <w:rFonts w:hint="eastAsia" w:ascii="宋体" w:hAnsi="宋体" w:eastAsia="宋体" w:cs="宋体"/>
          <w:bCs/>
          <w:sz w:val="24"/>
          <w:lang w:val="en-US" w:eastAsia="zh-CN"/>
        </w:rPr>
        <w:t>消毒</w:t>
      </w:r>
      <w:r>
        <w:rPr>
          <w:rFonts w:hint="eastAsia" w:ascii="宋体" w:hAnsi="宋体" w:eastAsia="宋体" w:cs="宋体"/>
          <w:bCs/>
          <w:sz w:val="24"/>
          <w:lang w:eastAsia="zh-CN"/>
        </w:rPr>
        <w:t>，确保污水处理合格率100%。如因</w:t>
      </w:r>
      <w:r>
        <w:rPr>
          <w:rFonts w:hint="eastAsia" w:ascii="宋体" w:hAnsi="宋体" w:eastAsia="宋体" w:cs="宋体"/>
          <w:bCs/>
          <w:sz w:val="24"/>
          <w:lang w:val="en-US" w:eastAsia="zh-CN"/>
        </w:rPr>
        <w:t>中标人</w:t>
      </w:r>
      <w:r>
        <w:rPr>
          <w:rFonts w:hint="eastAsia" w:ascii="宋体" w:hAnsi="宋体" w:eastAsia="宋体" w:cs="宋体"/>
          <w:bCs/>
          <w:sz w:val="24"/>
          <w:lang w:eastAsia="zh-CN"/>
        </w:rPr>
        <w:t>操作、维护、保养或投药不足等管理不当致使污水检验不合格受环保部门的所发生的一切处罚，责任由</w:t>
      </w:r>
      <w:r>
        <w:rPr>
          <w:rFonts w:hint="eastAsia" w:ascii="宋体" w:hAnsi="宋体" w:eastAsia="宋体" w:cs="宋体"/>
          <w:bCs/>
          <w:sz w:val="24"/>
          <w:lang w:val="en-US" w:eastAsia="zh-CN"/>
        </w:rPr>
        <w:t>中标人</w:t>
      </w:r>
      <w:r>
        <w:rPr>
          <w:rFonts w:hint="eastAsia" w:ascii="宋体" w:hAnsi="宋体" w:eastAsia="宋体" w:cs="宋体"/>
          <w:bCs/>
          <w:sz w:val="24"/>
          <w:lang w:eastAsia="zh-CN"/>
        </w:rPr>
        <w:t>承担。</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中标人</w:t>
      </w:r>
      <w:r>
        <w:rPr>
          <w:rFonts w:hint="eastAsia" w:ascii="宋体" w:hAnsi="宋体" w:eastAsia="宋体" w:cs="宋体"/>
          <w:bCs/>
          <w:sz w:val="24"/>
          <w:lang w:eastAsia="zh-CN"/>
        </w:rPr>
        <w:t>所采用的消毒药物及消毒品符合国家相关标准。</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val="en-US" w:eastAsia="zh-CN"/>
        </w:rPr>
        <w:t>中标人</w:t>
      </w:r>
      <w:r>
        <w:rPr>
          <w:rFonts w:hint="eastAsia" w:ascii="宋体" w:hAnsi="宋体" w:eastAsia="宋体" w:cs="宋体"/>
          <w:bCs/>
          <w:sz w:val="24"/>
          <w:lang w:eastAsia="zh-CN"/>
        </w:rPr>
        <w:t>建立及完善污水站设备设施的台帐，台帐需符合环保及上级相关检查部门的检查要求。</w:t>
      </w:r>
    </w:p>
    <w:p>
      <w:pPr>
        <w:widowControl/>
        <w:numPr>
          <w:ilvl w:val="0"/>
          <w:numId w:val="3"/>
        </w:numPr>
        <w:adjustRightInd w:val="0"/>
        <w:snapToGrid w:val="0"/>
        <w:spacing w:line="360" w:lineRule="auto"/>
        <w:ind w:left="0" w:leftChars="0" w:firstLine="480" w:firstLineChars="200"/>
        <w:jc w:val="left"/>
        <w:rPr>
          <w:rFonts w:hint="eastAsia" w:ascii="宋体" w:hAnsi="宋体" w:eastAsia="宋体" w:cs="宋体"/>
          <w:bCs/>
          <w:sz w:val="24"/>
          <w:lang w:eastAsia="zh-CN"/>
        </w:rPr>
      </w:pPr>
      <w:r>
        <w:rPr>
          <w:rFonts w:hint="eastAsia" w:ascii="宋体" w:hAnsi="宋体" w:eastAsia="宋体" w:cs="宋体"/>
          <w:bCs/>
          <w:sz w:val="24"/>
          <w:lang w:eastAsia="zh-CN"/>
        </w:rPr>
        <w:t>在运营期间产生污泥由</w:t>
      </w:r>
      <w:r>
        <w:rPr>
          <w:rFonts w:hint="eastAsia" w:ascii="宋体" w:hAnsi="宋体" w:eastAsia="宋体" w:cs="宋体"/>
          <w:bCs/>
          <w:sz w:val="24"/>
          <w:lang w:val="en-US" w:eastAsia="zh-CN"/>
        </w:rPr>
        <w:t>中标人</w:t>
      </w:r>
      <w:r>
        <w:rPr>
          <w:rFonts w:hint="eastAsia" w:ascii="宋体" w:hAnsi="宋体" w:eastAsia="宋体" w:cs="宋体"/>
          <w:bCs/>
          <w:sz w:val="24"/>
          <w:lang w:eastAsia="zh-CN"/>
        </w:rPr>
        <w:t>进行勘察检测，如污泥过多，</w:t>
      </w:r>
      <w:r>
        <w:rPr>
          <w:rFonts w:hint="eastAsia" w:ascii="宋体" w:hAnsi="宋体" w:eastAsia="宋体" w:cs="宋体"/>
          <w:bCs/>
          <w:sz w:val="24"/>
          <w:lang w:val="en-US" w:eastAsia="zh-CN"/>
        </w:rPr>
        <w:t>中标人</w:t>
      </w:r>
      <w:r>
        <w:rPr>
          <w:rFonts w:hint="eastAsia" w:ascii="宋体" w:hAnsi="宋体" w:eastAsia="宋体" w:cs="宋体"/>
          <w:bCs/>
          <w:sz w:val="24"/>
          <w:lang w:eastAsia="zh-CN"/>
        </w:rPr>
        <w:t>安排污泥的消毒、压干后外运处理。</w:t>
      </w:r>
    </w:p>
    <w:p>
      <w:pPr>
        <w:pStyle w:val="2"/>
        <w:rPr>
          <w:rFonts w:hint="eastAsia"/>
          <w:lang w:eastAsia="zh-CN"/>
        </w:rPr>
      </w:pPr>
    </w:p>
    <w:p>
      <w:pPr>
        <w:keepNext w:val="0"/>
        <w:keepLines w:val="0"/>
        <w:widowControl/>
        <w:suppressLineNumbers w:val="0"/>
        <w:ind w:firstLine="562" w:firstLineChars="200"/>
        <w:jc w:val="left"/>
        <w:rPr>
          <w:b/>
          <w:bCs/>
        </w:rPr>
      </w:pPr>
      <w:r>
        <w:rPr>
          <w:rFonts w:hint="eastAsia" w:ascii="宋体" w:hAnsi="宋体" w:eastAsia="宋体" w:cs="宋体"/>
          <w:b/>
          <w:bCs/>
          <w:color w:val="000000"/>
          <w:kern w:val="0"/>
          <w:sz w:val="28"/>
          <w:szCs w:val="28"/>
          <w:lang w:val="en-US" w:eastAsia="zh-CN" w:bidi="ar"/>
        </w:rPr>
        <w:t>珠海市香洲区拱北社区健康服务中心污水的各项污染物排放指标达到《医疗机构水污染物排放标准》(GB18466-2005)预处理排放</w:t>
      </w:r>
      <w:r>
        <w:rPr>
          <w:rFonts w:hint="eastAsia" w:ascii="宋体" w:hAnsi="宋体" w:cs="宋体"/>
          <w:b/>
          <w:bCs/>
          <w:color w:val="000000"/>
          <w:kern w:val="0"/>
          <w:sz w:val="28"/>
          <w:szCs w:val="28"/>
          <w:lang w:val="en-US" w:eastAsia="zh-CN" w:bidi="ar"/>
        </w:rPr>
        <w:t>依据</w:t>
      </w:r>
      <w:r>
        <w:rPr>
          <w:rFonts w:hint="eastAsia" w:ascii="宋体" w:hAnsi="宋体" w:eastAsia="宋体" w:cs="宋体"/>
          <w:b/>
          <w:bCs/>
          <w:color w:val="000000"/>
          <w:kern w:val="0"/>
          <w:sz w:val="28"/>
          <w:szCs w:val="28"/>
          <w:lang w:val="en-US" w:eastAsia="zh-CN" w:bidi="ar"/>
        </w:rPr>
        <w:t xml:space="preserve">标准。 </w:t>
      </w:r>
    </w:p>
    <w:tbl>
      <w:tblPr>
        <w:tblStyle w:val="7"/>
        <w:tblW w:w="93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7"/>
        <w:gridCol w:w="2190"/>
        <w:gridCol w:w="2475"/>
        <w:gridCol w:w="2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967" w:type="dxa"/>
          </w:tcPr>
          <w:p>
            <w:pPr>
              <w:pStyle w:val="12"/>
              <w:spacing w:before="174"/>
              <w:ind w:left="326" w:right="321"/>
              <w:rPr>
                <w:b/>
                <w:sz w:val="24"/>
              </w:rPr>
            </w:pPr>
            <w:r>
              <w:rPr>
                <w:b/>
                <w:sz w:val="24"/>
              </w:rPr>
              <w:t>检测项目</w:t>
            </w:r>
          </w:p>
        </w:tc>
        <w:tc>
          <w:tcPr>
            <w:tcW w:w="2190" w:type="dxa"/>
          </w:tcPr>
          <w:p>
            <w:pPr>
              <w:pStyle w:val="12"/>
              <w:spacing w:before="174"/>
              <w:ind w:left="328" w:right="319"/>
              <w:rPr>
                <w:b/>
                <w:sz w:val="24"/>
              </w:rPr>
            </w:pPr>
            <w:r>
              <w:rPr>
                <w:b/>
                <w:sz w:val="24"/>
              </w:rPr>
              <w:t>单位</w:t>
            </w:r>
          </w:p>
        </w:tc>
        <w:tc>
          <w:tcPr>
            <w:tcW w:w="2475" w:type="dxa"/>
          </w:tcPr>
          <w:p>
            <w:pPr>
              <w:pStyle w:val="12"/>
              <w:spacing w:before="174"/>
              <w:ind w:left="867" w:right="861"/>
              <w:rPr>
                <w:b/>
                <w:sz w:val="24"/>
              </w:rPr>
            </w:pPr>
            <w:r>
              <w:rPr>
                <w:b/>
                <w:sz w:val="24"/>
              </w:rPr>
              <w:t>限量规格</w:t>
            </w:r>
          </w:p>
        </w:tc>
        <w:tc>
          <w:tcPr>
            <w:tcW w:w="2712" w:type="dxa"/>
          </w:tcPr>
          <w:p>
            <w:pPr>
              <w:pStyle w:val="12"/>
              <w:spacing w:before="174"/>
              <w:ind w:left="867" w:right="861"/>
              <w:rPr>
                <w:b/>
                <w:sz w:val="24"/>
              </w:rPr>
            </w:pPr>
            <w:r>
              <w:rPr>
                <w:rFonts w:hint="eastAsia" w:ascii="宋体" w:hAnsi="宋体" w:eastAsia="宋体" w:cs="宋体"/>
                <w:b/>
                <w:bCs/>
                <w:kern w:val="2"/>
                <w:sz w:val="24"/>
                <w:szCs w:val="24"/>
                <w:lang w:val="en-US" w:eastAsia="zh-CN" w:bidi="zh-CN"/>
              </w:rPr>
              <w:t>检测频次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967" w:type="dxa"/>
          </w:tcPr>
          <w:p>
            <w:pPr>
              <w:pStyle w:val="12"/>
              <w:spacing w:before="174"/>
              <w:ind w:left="328" w:right="321"/>
              <w:rPr>
                <w:sz w:val="24"/>
              </w:rPr>
            </w:pPr>
            <w:r>
              <w:rPr>
                <w:sz w:val="24"/>
              </w:rPr>
              <w:t>悬浮物</w:t>
            </w:r>
          </w:p>
        </w:tc>
        <w:tc>
          <w:tcPr>
            <w:tcW w:w="2190" w:type="dxa"/>
          </w:tcPr>
          <w:p>
            <w:pPr>
              <w:pStyle w:val="12"/>
              <w:spacing w:before="174"/>
              <w:ind w:left="328" w:right="319"/>
              <w:rPr>
                <w:sz w:val="24"/>
              </w:rPr>
            </w:pPr>
            <w:r>
              <w:rPr>
                <w:sz w:val="24"/>
              </w:rPr>
              <w:t>mg/L</w:t>
            </w:r>
          </w:p>
        </w:tc>
        <w:tc>
          <w:tcPr>
            <w:tcW w:w="2475" w:type="dxa"/>
          </w:tcPr>
          <w:p>
            <w:pPr>
              <w:pStyle w:val="12"/>
              <w:spacing w:before="174"/>
              <w:ind w:left="867" w:right="858"/>
              <w:rPr>
                <w:sz w:val="24"/>
              </w:rPr>
            </w:pPr>
            <w:r>
              <w:rPr>
                <w:sz w:val="24"/>
              </w:rPr>
              <w:t>≤60</w:t>
            </w:r>
          </w:p>
        </w:tc>
        <w:tc>
          <w:tcPr>
            <w:tcW w:w="2712" w:type="dxa"/>
          </w:tcPr>
          <w:p>
            <w:pPr>
              <w:pStyle w:val="12"/>
              <w:spacing w:before="174"/>
              <w:ind w:left="867" w:right="858"/>
              <w:jc w:val="center"/>
              <w:rPr>
                <w:sz w:val="24"/>
              </w:rPr>
            </w:pPr>
            <w:r>
              <w:rPr>
                <w:rFonts w:hint="eastAsia"/>
                <w:sz w:val="24"/>
                <w:lang w:val="en-US" w:eastAsia="zh-CN"/>
              </w:rPr>
              <w:t>一周一次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967" w:type="dxa"/>
          </w:tcPr>
          <w:p>
            <w:pPr>
              <w:pStyle w:val="12"/>
              <w:spacing w:before="174"/>
              <w:ind w:left="328" w:right="321"/>
              <w:rPr>
                <w:sz w:val="24"/>
              </w:rPr>
            </w:pPr>
            <w:r>
              <w:rPr>
                <w:sz w:val="24"/>
              </w:rPr>
              <w:t>化学需氧量（COD）</w:t>
            </w:r>
          </w:p>
        </w:tc>
        <w:tc>
          <w:tcPr>
            <w:tcW w:w="2190" w:type="dxa"/>
          </w:tcPr>
          <w:p>
            <w:pPr>
              <w:pStyle w:val="12"/>
              <w:spacing w:before="174"/>
              <w:ind w:left="328" w:right="319"/>
              <w:rPr>
                <w:sz w:val="24"/>
              </w:rPr>
            </w:pPr>
            <w:r>
              <w:rPr>
                <w:sz w:val="24"/>
              </w:rPr>
              <w:t>mg/L</w:t>
            </w:r>
          </w:p>
        </w:tc>
        <w:tc>
          <w:tcPr>
            <w:tcW w:w="2475" w:type="dxa"/>
          </w:tcPr>
          <w:p>
            <w:pPr>
              <w:pStyle w:val="12"/>
              <w:spacing w:before="174"/>
              <w:ind w:left="867" w:right="858"/>
              <w:rPr>
                <w:sz w:val="24"/>
              </w:rPr>
            </w:pPr>
            <w:r>
              <w:rPr>
                <w:sz w:val="24"/>
              </w:rPr>
              <w:t>≤250</w:t>
            </w:r>
          </w:p>
        </w:tc>
        <w:tc>
          <w:tcPr>
            <w:tcW w:w="2712" w:type="dxa"/>
          </w:tcPr>
          <w:p>
            <w:pPr>
              <w:pStyle w:val="12"/>
              <w:spacing w:before="174"/>
              <w:ind w:left="867" w:right="858"/>
              <w:jc w:val="center"/>
              <w:rPr>
                <w:sz w:val="24"/>
              </w:rPr>
            </w:pPr>
            <w:r>
              <w:rPr>
                <w:rFonts w:hint="eastAsia"/>
                <w:sz w:val="24"/>
                <w:lang w:val="en-US" w:eastAsia="zh-CN"/>
              </w:rPr>
              <w:t>一周一次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967" w:type="dxa"/>
          </w:tcPr>
          <w:p>
            <w:pPr>
              <w:pStyle w:val="12"/>
              <w:spacing w:before="174"/>
              <w:ind w:left="328" w:right="318"/>
              <w:rPr>
                <w:sz w:val="24"/>
              </w:rPr>
            </w:pPr>
            <w:r>
              <w:rPr>
                <w:sz w:val="24"/>
              </w:rPr>
              <w:t>PH 值</w:t>
            </w:r>
          </w:p>
        </w:tc>
        <w:tc>
          <w:tcPr>
            <w:tcW w:w="2190" w:type="dxa"/>
          </w:tcPr>
          <w:p>
            <w:pPr>
              <w:pStyle w:val="12"/>
              <w:spacing w:before="174"/>
              <w:ind w:right="1058"/>
              <w:jc w:val="right"/>
              <w:rPr>
                <w:sz w:val="24"/>
              </w:rPr>
            </w:pPr>
            <w:r>
              <w:rPr>
                <w:sz w:val="24"/>
              </w:rPr>
              <w:t>-----</w:t>
            </w:r>
          </w:p>
        </w:tc>
        <w:tc>
          <w:tcPr>
            <w:tcW w:w="2475" w:type="dxa"/>
          </w:tcPr>
          <w:p>
            <w:pPr>
              <w:pStyle w:val="12"/>
              <w:spacing w:before="174"/>
              <w:ind w:left="867" w:right="858"/>
              <w:rPr>
                <w:sz w:val="24"/>
              </w:rPr>
            </w:pPr>
            <w:r>
              <w:rPr>
                <w:sz w:val="24"/>
              </w:rPr>
              <w:t>6-9</w:t>
            </w:r>
          </w:p>
        </w:tc>
        <w:tc>
          <w:tcPr>
            <w:tcW w:w="2712" w:type="dxa"/>
          </w:tcPr>
          <w:p>
            <w:pPr>
              <w:pStyle w:val="12"/>
              <w:spacing w:before="174"/>
              <w:ind w:left="867" w:right="858"/>
              <w:jc w:val="center"/>
              <w:rPr>
                <w:sz w:val="24"/>
              </w:rPr>
            </w:pPr>
            <w:r>
              <w:rPr>
                <w:rFonts w:hint="eastAsia"/>
                <w:sz w:val="24"/>
                <w:lang w:val="en-US" w:eastAsia="zh-CN"/>
              </w:rPr>
              <w:t>一天二次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967" w:type="dxa"/>
          </w:tcPr>
          <w:p>
            <w:pPr>
              <w:pStyle w:val="12"/>
              <w:spacing w:before="175"/>
              <w:ind w:left="328" w:right="321"/>
              <w:rPr>
                <w:sz w:val="24"/>
              </w:rPr>
            </w:pPr>
            <w:r>
              <w:rPr>
                <w:sz w:val="24"/>
              </w:rPr>
              <w:t>粪大肠菌群</w:t>
            </w:r>
          </w:p>
        </w:tc>
        <w:tc>
          <w:tcPr>
            <w:tcW w:w="2190" w:type="dxa"/>
          </w:tcPr>
          <w:p>
            <w:pPr>
              <w:pStyle w:val="12"/>
              <w:spacing w:before="175"/>
              <w:ind w:right="1058"/>
              <w:jc w:val="right"/>
              <w:rPr>
                <w:sz w:val="24"/>
              </w:rPr>
            </w:pPr>
            <w:r>
              <w:rPr>
                <w:sz w:val="24"/>
              </w:rPr>
              <w:t>MPN/L</w:t>
            </w:r>
          </w:p>
        </w:tc>
        <w:tc>
          <w:tcPr>
            <w:tcW w:w="2475" w:type="dxa"/>
          </w:tcPr>
          <w:p>
            <w:pPr>
              <w:pStyle w:val="12"/>
              <w:spacing w:before="175"/>
              <w:ind w:left="867" w:right="858"/>
              <w:rPr>
                <w:sz w:val="24"/>
              </w:rPr>
            </w:pPr>
            <w:r>
              <w:rPr>
                <w:sz w:val="24"/>
              </w:rPr>
              <w:t>≤5000</w:t>
            </w:r>
          </w:p>
        </w:tc>
        <w:tc>
          <w:tcPr>
            <w:tcW w:w="2712" w:type="dxa"/>
          </w:tcPr>
          <w:p>
            <w:pPr>
              <w:pStyle w:val="12"/>
              <w:spacing w:before="175"/>
              <w:ind w:left="867" w:right="858"/>
              <w:jc w:val="center"/>
              <w:rPr>
                <w:sz w:val="24"/>
              </w:rPr>
            </w:pPr>
            <w:r>
              <w:rPr>
                <w:rFonts w:hint="eastAsia"/>
                <w:sz w:val="24"/>
                <w:lang w:val="en-US" w:eastAsia="zh-CN"/>
              </w:rPr>
              <w:t>一月一次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67" w:type="dxa"/>
          </w:tcPr>
          <w:p>
            <w:pPr>
              <w:pStyle w:val="12"/>
              <w:spacing w:before="175"/>
              <w:ind w:left="328" w:right="321"/>
              <w:rPr>
                <w:sz w:val="24"/>
              </w:rPr>
            </w:pPr>
            <w:r>
              <w:rPr>
                <w:sz w:val="24"/>
              </w:rPr>
              <w:t>余氯</w:t>
            </w:r>
          </w:p>
        </w:tc>
        <w:tc>
          <w:tcPr>
            <w:tcW w:w="2190" w:type="dxa"/>
          </w:tcPr>
          <w:p>
            <w:pPr>
              <w:pStyle w:val="12"/>
              <w:spacing w:before="175"/>
              <w:ind w:left="328" w:right="319"/>
              <w:rPr>
                <w:sz w:val="24"/>
              </w:rPr>
            </w:pPr>
            <w:r>
              <w:rPr>
                <w:sz w:val="24"/>
              </w:rPr>
              <w:t>mg/L</w:t>
            </w:r>
          </w:p>
        </w:tc>
        <w:tc>
          <w:tcPr>
            <w:tcW w:w="2475" w:type="dxa"/>
          </w:tcPr>
          <w:p>
            <w:pPr>
              <w:pStyle w:val="12"/>
              <w:spacing w:before="175"/>
              <w:ind w:left="867" w:right="858"/>
              <w:rPr>
                <w:sz w:val="24"/>
              </w:rPr>
            </w:pPr>
            <w:r>
              <w:rPr>
                <w:sz w:val="24"/>
              </w:rPr>
              <w:t>≤0.5</w:t>
            </w:r>
          </w:p>
        </w:tc>
        <w:tc>
          <w:tcPr>
            <w:tcW w:w="2712" w:type="dxa"/>
          </w:tcPr>
          <w:p>
            <w:pPr>
              <w:ind w:left="958" w:leftChars="456" w:firstLine="1680" w:firstLineChars="700"/>
              <w:jc w:val="both"/>
              <w:rPr>
                <w:sz w:val="24"/>
              </w:rPr>
            </w:pPr>
            <w:r>
              <w:rPr>
                <w:rFonts w:hint="eastAsia" w:ascii="宋体" w:hAnsi="宋体" w:eastAsia="宋体" w:cs="宋体"/>
                <w:b w:val="0"/>
                <w:bCs w:val="0"/>
                <w:kern w:val="2"/>
                <w:sz w:val="24"/>
                <w:szCs w:val="24"/>
                <w:lang w:val="en-US" w:eastAsia="zh-CN" w:bidi="zh-CN"/>
              </w:rPr>
              <w:t xml:space="preserve"> 一天</w:t>
            </w:r>
            <w:r>
              <w:rPr>
                <w:rFonts w:hint="eastAsia" w:ascii="宋体" w:hAnsi="宋体" w:cs="宋体"/>
                <w:b w:val="0"/>
                <w:bCs w:val="0"/>
                <w:kern w:val="2"/>
                <w:sz w:val="24"/>
                <w:szCs w:val="24"/>
                <w:lang w:val="en-US" w:eastAsia="zh-CN" w:bidi="zh-CN"/>
              </w:rPr>
              <w:t>二</w:t>
            </w:r>
            <w:r>
              <w:rPr>
                <w:rFonts w:hint="eastAsia" w:ascii="宋体" w:hAnsi="宋体" w:eastAsia="宋体" w:cs="宋体"/>
                <w:b w:val="0"/>
                <w:bCs w:val="0"/>
                <w:kern w:val="2"/>
                <w:sz w:val="24"/>
                <w:szCs w:val="24"/>
                <w:lang w:val="en-US" w:eastAsia="zh-CN" w:bidi="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967" w:type="dxa"/>
          </w:tcPr>
          <w:p>
            <w:pPr>
              <w:pStyle w:val="12"/>
              <w:spacing w:before="175"/>
              <w:ind w:left="328" w:right="321"/>
              <w:rPr>
                <w:sz w:val="24"/>
              </w:rPr>
            </w:pPr>
            <w:r>
              <w:rPr>
                <w:sz w:val="24"/>
              </w:rPr>
              <w:t>沙门氏菌</w:t>
            </w:r>
          </w:p>
        </w:tc>
        <w:tc>
          <w:tcPr>
            <w:tcW w:w="2190" w:type="dxa"/>
          </w:tcPr>
          <w:p>
            <w:pPr>
              <w:pStyle w:val="12"/>
              <w:spacing w:before="175"/>
              <w:ind w:right="998"/>
              <w:jc w:val="right"/>
              <w:rPr>
                <w:sz w:val="24"/>
              </w:rPr>
            </w:pPr>
            <w:r>
              <w:rPr>
                <w:sz w:val="24"/>
              </w:rPr>
              <w:t>------</w:t>
            </w:r>
          </w:p>
        </w:tc>
        <w:tc>
          <w:tcPr>
            <w:tcW w:w="2475" w:type="dxa"/>
          </w:tcPr>
          <w:p>
            <w:pPr>
              <w:pStyle w:val="12"/>
              <w:spacing w:before="175"/>
              <w:ind w:left="867" w:right="858"/>
              <w:rPr>
                <w:sz w:val="24"/>
              </w:rPr>
            </w:pPr>
            <w:r>
              <w:rPr>
                <w:sz w:val="24"/>
              </w:rPr>
              <w:t>不得检出</w:t>
            </w:r>
          </w:p>
        </w:tc>
        <w:tc>
          <w:tcPr>
            <w:tcW w:w="2712" w:type="dxa"/>
          </w:tcPr>
          <w:p>
            <w:pPr>
              <w:pStyle w:val="12"/>
              <w:spacing w:before="175"/>
              <w:ind w:left="867" w:right="858"/>
              <w:jc w:val="center"/>
              <w:rPr>
                <w:sz w:val="24"/>
              </w:rPr>
            </w:pPr>
            <w:r>
              <w:rPr>
                <w:rFonts w:hint="eastAsia" w:ascii="宋体" w:hAnsi="宋体" w:eastAsia="宋体" w:cs="宋体"/>
                <w:b w:val="0"/>
                <w:bCs w:val="0"/>
                <w:kern w:val="2"/>
                <w:sz w:val="24"/>
                <w:szCs w:val="24"/>
                <w:lang w:val="en-US" w:eastAsia="zh-CN" w:bidi="zh-CN"/>
              </w:rPr>
              <w:t>一年</w:t>
            </w:r>
            <w:r>
              <w:rPr>
                <w:rFonts w:hint="eastAsia" w:cs="宋体"/>
                <w:b w:val="0"/>
                <w:bCs w:val="0"/>
                <w:kern w:val="2"/>
                <w:sz w:val="24"/>
                <w:szCs w:val="24"/>
                <w:lang w:val="en-US" w:eastAsia="zh-CN" w:bidi="zh-CN"/>
              </w:rPr>
              <w:t>四</w:t>
            </w:r>
            <w:r>
              <w:rPr>
                <w:rFonts w:hint="eastAsia" w:ascii="宋体" w:hAnsi="宋体" w:eastAsia="宋体" w:cs="宋体"/>
                <w:b w:val="0"/>
                <w:bCs w:val="0"/>
                <w:kern w:val="2"/>
                <w:sz w:val="24"/>
                <w:szCs w:val="24"/>
                <w:lang w:val="en-US" w:eastAsia="zh-CN" w:bidi="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967" w:type="dxa"/>
          </w:tcPr>
          <w:p>
            <w:pPr>
              <w:pStyle w:val="12"/>
              <w:spacing w:before="175"/>
              <w:ind w:left="328" w:right="321"/>
              <w:rPr>
                <w:sz w:val="24"/>
              </w:rPr>
            </w:pPr>
            <w:r>
              <w:rPr>
                <w:sz w:val="24"/>
              </w:rPr>
              <w:t>志贺氏菌</w:t>
            </w:r>
          </w:p>
        </w:tc>
        <w:tc>
          <w:tcPr>
            <w:tcW w:w="2190" w:type="dxa"/>
          </w:tcPr>
          <w:p>
            <w:pPr>
              <w:pStyle w:val="12"/>
              <w:spacing w:before="175"/>
              <w:ind w:right="998"/>
              <w:jc w:val="right"/>
              <w:rPr>
                <w:sz w:val="24"/>
              </w:rPr>
            </w:pPr>
            <w:r>
              <w:rPr>
                <w:sz w:val="24"/>
              </w:rPr>
              <w:t>------</w:t>
            </w:r>
          </w:p>
        </w:tc>
        <w:tc>
          <w:tcPr>
            <w:tcW w:w="2475" w:type="dxa"/>
          </w:tcPr>
          <w:p>
            <w:pPr>
              <w:pStyle w:val="12"/>
              <w:spacing w:before="175"/>
              <w:ind w:left="867" w:right="858"/>
              <w:rPr>
                <w:sz w:val="24"/>
              </w:rPr>
            </w:pPr>
            <w:r>
              <w:rPr>
                <w:sz w:val="24"/>
              </w:rPr>
              <w:t>不得检出</w:t>
            </w:r>
          </w:p>
        </w:tc>
        <w:tc>
          <w:tcPr>
            <w:tcW w:w="2712" w:type="dxa"/>
          </w:tcPr>
          <w:p>
            <w:pPr>
              <w:pStyle w:val="12"/>
              <w:spacing w:before="175"/>
              <w:ind w:right="858" w:firstLine="720" w:firstLineChars="300"/>
              <w:jc w:val="center"/>
              <w:rPr>
                <w:sz w:val="24"/>
              </w:rPr>
            </w:pPr>
            <w:r>
              <w:rPr>
                <w:rFonts w:hint="eastAsia"/>
                <w:sz w:val="24"/>
                <w:lang w:val="en-US" w:eastAsia="zh-CN"/>
              </w:rPr>
              <w:t xml:space="preserve"> 一年二次</w:t>
            </w:r>
          </w:p>
        </w:tc>
      </w:tr>
    </w:tbl>
    <w:p>
      <w:pPr>
        <w:pStyle w:val="2"/>
        <w:rPr>
          <w:rFonts w:hint="eastAsia"/>
          <w:lang w:eastAsia="zh-CN"/>
        </w:rPr>
      </w:pPr>
    </w:p>
    <w:p>
      <w:pPr>
        <w:numPr>
          <w:ilvl w:val="0"/>
          <w:numId w:val="0"/>
        </w:numPr>
        <w:rPr>
          <w:rFonts w:hint="eastAsia" w:ascii="宋体" w:hAnsi="宋体" w:eastAsia="宋体" w:cs="宋体"/>
          <w:b/>
          <w:bCs w:val="0"/>
          <w:sz w:val="24"/>
          <w:lang w:eastAsia="zh-CN"/>
        </w:rPr>
      </w:pPr>
    </w:p>
    <w:p>
      <w:pPr>
        <w:widowControl/>
        <w:numPr>
          <w:ilvl w:val="0"/>
          <w:numId w:val="0"/>
        </w:numPr>
        <w:adjustRightInd w:val="0"/>
        <w:snapToGrid w:val="0"/>
        <w:spacing w:line="360" w:lineRule="auto"/>
        <w:ind w:firstLine="562" w:firstLineChars="200"/>
        <w:jc w:val="left"/>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维保服务要求</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中标人委派的污水处理操作人员必须具有环境污染治理设施运营人员考试合格证书（上岗证）。</w:t>
      </w:r>
    </w:p>
    <w:p>
      <w:pPr>
        <w:pStyle w:val="5"/>
        <w:keepNext w:val="0"/>
        <w:keepLines w:val="0"/>
        <w:pageBreakBefore w:val="0"/>
        <w:numPr>
          <w:ilvl w:val="0"/>
          <w:numId w:val="4"/>
        </w:numPr>
        <w:kinsoku/>
        <w:wordWrap/>
        <w:overflowPunct/>
        <w:topLinePunct w:val="0"/>
        <w:autoSpaceDE/>
        <w:bidi w:val="0"/>
        <w:snapToGrid w:val="0"/>
        <w:ind w:left="20" w:leftChars="0" w:firstLine="400" w:firstLineChars="0"/>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委派操作人员每天进行现场管理，并按有关规定建立消毒运行记录，如因设备故障需要紧急维修处理的，中标人在接到社康中心通知后30分钟内赶到现场解决。中标人对社康中心现有污水站设施运行进行管理和维护保养，</w:t>
      </w:r>
      <w:r>
        <w:rPr>
          <w:rFonts w:hint="eastAsia" w:cs="宋体"/>
          <w:bCs/>
          <w:sz w:val="24"/>
          <w:highlight w:val="none"/>
          <w:lang w:val="en-US" w:eastAsia="zh-CN"/>
        </w:rPr>
        <w:t>负责更换现有的</w:t>
      </w:r>
      <w:r>
        <w:rPr>
          <w:rFonts w:hint="eastAsia" w:ascii="宋体" w:hAnsi="宋体" w:cs="宋体"/>
          <w:bCs/>
          <w:sz w:val="24"/>
          <w:highlight w:val="none"/>
          <w:lang w:eastAsia="zh-CN"/>
        </w:rPr>
        <w:t>污水站排风扇，增大</w:t>
      </w:r>
      <w:r>
        <w:rPr>
          <w:rFonts w:hint="eastAsia" w:cs="宋体"/>
          <w:bCs/>
          <w:sz w:val="24"/>
          <w:highlight w:val="none"/>
          <w:lang w:val="en-US" w:eastAsia="zh-CN"/>
        </w:rPr>
        <w:t>排风</w:t>
      </w:r>
      <w:r>
        <w:rPr>
          <w:rFonts w:hint="eastAsia" w:ascii="宋体" w:hAnsi="宋体" w:cs="宋体"/>
          <w:bCs/>
          <w:sz w:val="24"/>
          <w:highlight w:val="none"/>
          <w:lang w:eastAsia="zh-CN"/>
        </w:rPr>
        <w:t>以便更好</w:t>
      </w:r>
      <w:r>
        <w:rPr>
          <w:rFonts w:hint="eastAsia" w:ascii="宋体" w:hAnsi="宋体" w:cs="宋体"/>
          <w:b w:val="0"/>
          <w:bCs/>
          <w:sz w:val="24"/>
          <w:lang w:val="en-US" w:eastAsia="zh-CN"/>
        </w:rPr>
        <w:t>保障设备的正常运行；维修材料 200元（含 200元）及以下项目由中标人自行负责处理，200元以上的维修和设备更换由社康中心提供材料中标人负责安装。若因中标人损坏或保养不当导致的设备损坏，其更换费用由中标人承担。</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在中标人负责污水处理站运营管理期间内，中标人负责对社康中心生产排出的污水进行处理。每天进行两次余氯、</w:t>
      </w:r>
      <w:r>
        <w:rPr>
          <w:rFonts w:hint="eastAsia" w:ascii="宋体" w:hAnsi="宋体" w:cs="宋体"/>
          <w:b w:val="0"/>
          <w:bCs/>
          <w:sz w:val="24"/>
          <w:lang w:val="en-US" w:eastAsia="en-US"/>
        </w:rPr>
        <w:t>pH</w:t>
      </w:r>
      <w:r>
        <w:rPr>
          <w:rFonts w:hint="eastAsia" w:ascii="宋体" w:hAnsi="宋体" w:cs="宋体"/>
          <w:b w:val="0"/>
          <w:bCs/>
          <w:sz w:val="24"/>
          <w:lang w:val="en-US" w:eastAsia="zh-CN"/>
        </w:rPr>
        <w:t>值检测，并做好记录。大肠杆菌EPEC每月一次提取水样送医院综合楼二楼检验科化验。别的指标根据水质检测频次要求进行检测并出具CMA检测报告，保证污水处理站设备的正常运行和污水达标（《医疗机构水污染排放标准》GB18466-2005)排放，以有CMA 资质单位出具的排水监测报告为准。协助社康中心做好第三方水样的采集、配送工作的监督检查。</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在中标人管理期间内，保障污水处理设备运行正常，保持污水站周围环境卫生清洁，如因废水处理方面的有关事宜而影响到社康中心的正常生产，由中标人承担责任。</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w:t>
      </w:r>
      <w:r>
        <w:rPr>
          <w:rFonts w:hint="eastAsia" w:ascii="宋体" w:hAnsi="宋体" w:cs="宋体"/>
          <w:b w:val="0"/>
          <w:bCs/>
          <w:sz w:val="24"/>
          <w:lang w:eastAsia="zh-CN"/>
        </w:rPr>
        <w:t>负责提供污水处理站所需药剂，</w:t>
      </w:r>
      <w:r>
        <w:rPr>
          <w:rFonts w:hint="eastAsia" w:ascii="宋体" w:hAnsi="宋体" w:cs="宋体"/>
          <w:b w:val="0"/>
          <w:bCs/>
          <w:sz w:val="24"/>
          <w:lang w:val="en-US" w:eastAsia="zh-CN"/>
        </w:rPr>
        <w:t>并</w:t>
      </w:r>
      <w:r>
        <w:rPr>
          <w:rFonts w:hint="eastAsia" w:ascii="宋体" w:hAnsi="宋体" w:cs="宋体"/>
          <w:b w:val="0"/>
          <w:bCs/>
          <w:sz w:val="24"/>
          <w:lang w:eastAsia="zh-CN"/>
        </w:rPr>
        <w:t>妥善保存药剂，确保安全无隐患。</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严格按照污水处理管理程序认真组织投放定量药物，确保污水处理合格率100%。如因中标人操作、维护、保养或投药不足等管理不当致使污水检验不合格受环保部门的所发生的一切处罚，责任由中标人承担。</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所采用的消毒药物及消毒品符合国家相关标准、消毒药物及消毒品的生产商应具备卫生部核发的《消毒产品生产企业卫生许可证》。</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建立及完善污水站设备设施的台帐，台帐需符合环保及上级相关检查部门的检查要求。检查各电动设备是否正常，检查污水泵是否堵塞，检查污水泵的浮球，防止失灵。定时做好巡查工作，记录好设备运行情况，做好加药工作，做好设备运营记录、维保维修记录、用药登记记录等。</w:t>
      </w:r>
    </w:p>
    <w:p>
      <w:pPr>
        <w:keepNext w:val="0"/>
        <w:keepLines w:val="0"/>
        <w:pageBreakBefore w:val="0"/>
        <w:widowControl/>
        <w:numPr>
          <w:ilvl w:val="0"/>
          <w:numId w:val="4"/>
        </w:numPr>
        <w:kinsoku/>
        <w:wordWrap/>
        <w:overflowPunct/>
        <w:topLinePunct w:val="0"/>
        <w:autoSpaceDE/>
        <w:autoSpaceDN w:val="0"/>
        <w:bidi w:val="0"/>
        <w:adjustRightInd w:val="0"/>
        <w:snapToGrid w:val="0"/>
        <w:spacing w:line="360" w:lineRule="auto"/>
        <w:ind w:left="20" w:leftChars="0" w:firstLine="400" w:firstLineChars="0"/>
        <w:jc w:val="left"/>
        <w:textAlignment w:val="auto"/>
        <w:rPr>
          <w:rFonts w:ascii="宋体" w:hAnsi="宋体" w:eastAsia="宋体" w:cs="宋体"/>
          <w:sz w:val="24"/>
          <w:szCs w:val="24"/>
          <w:highlight w:val="none"/>
        </w:rPr>
      </w:pPr>
      <w:r>
        <w:rPr>
          <w:rFonts w:hint="eastAsia" w:ascii="宋体" w:hAnsi="宋体" w:cs="宋体"/>
          <w:b w:val="0"/>
          <w:bCs/>
          <w:sz w:val="24"/>
          <w:lang w:val="en-US" w:eastAsia="zh-CN"/>
        </w:rPr>
        <w:t>中标人每月需将运行记录、设备维护记录及排放水质监测记录提交社康中心备案。中标人在运行管理中，如由管理问题而出现设备或相关配套设施丢失或损坏，应全价赔偿或维修完好。每周对所有设备进行一次例行检修、保养，每月给污水站鼓风机更换一次黄油，</w:t>
      </w:r>
      <w:r>
        <w:rPr>
          <w:rFonts w:hint="eastAsia" w:ascii="宋体" w:hAnsi="宋体" w:eastAsia="宋体" w:cs="宋体"/>
          <w:bCs/>
          <w:sz w:val="24"/>
          <w:highlight w:val="none"/>
          <w:lang w:eastAsia="zh-CN"/>
        </w:rPr>
        <w:t>清理水泵内的污物以防堵塞</w:t>
      </w:r>
      <w:r>
        <w:rPr>
          <w:rFonts w:hint="eastAsia" w:ascii="宋体" w:hAnsi="宋体" w:cs="宋体"/>
          <w:bCs/>
          <w:sz w:val="24"/>
          <w:highlight w:val="none"/>
          <w:lang w:eastAsia="zh-CN"/>
        </w:rPr>
        <w:t>，</w:t>
      </w:r>
      <w:r>
        <w:rPr>
          <w:rFonts w:hint="eastAsia" w:ascii="宋体" w:hAnsi="宋体" w:eastAsia="宋体" w:cs="宋体"/>
          <w:bCs/>
          <w:sz w:val="24"/>
          <w:highlight w:val="none"/>
          <w:lang w:eastAsia="zh-CN"/>
        </w:rPr>
        <w:t xml:space="preserve"> 调整和加固水泵底座镙丝； 检测电机绝缘电阻并做记录； 检查水泵提升链条是否牢固可行，如发现问题应及时更换。中标人</w:t>
      </w:r>
      <w:r>
        <w:rPr>
          <w:rFonts w:ascii="宋体" w:hAnsi="宋体" w:eastAsia="宋体" w:cs="宋体"/>
          <w:sz w:val="24"/>
          <w:szCs w:val="24"/>
          <w:highlight w:val="none"/>
        </w:rPr>
        <w:t>对污水处理站内所有设备、系统每半年进行一次大保养以确保运行正常</w:t>
      </w:r>
      <w:r>
        <w:rPr>
          <w:rFonts w:hint="eastAsia" w:ascii="宋体" w:hAnsi="宋体" w:cs="宋体"/>
          <w:sz w:val="24"/>
          <w:szCs w:val="24"/>
          <w:highlight w:val="none"/>
          <w:lang w:eastAsia="zh-CN"/>
        </w:rPr>
        <w:t>。</w:t>
      </w:r>
      <w:r>
        <w:rPr>
          <w:rFonts w:ascii="宋体" w:hAnsi="宋体" w:eastAsia="宋体" w:cs="宋体"/>
          <w:sz w:val="24"/>
          <w:szCs w:val="24"/>
          <w:highlight w:val="none"/>
        </w:rPr>
        <w:t>调节池每年清理一次。</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中标人在运行管理期间，中标人需积极配合社康中心完成上级部门对污水处理的相关检查工作，并承担污水排放不达标所致的处罚。</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中标人负责污水处理站的人工费、污水处理产生的一切费用包括运营设备及配电系统的日常维护、保养及维修费；所需污水处理药剂费；运营报表记录及申报费用；车辆运输及交通费；相关检测费等。</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不得擅自更改污水处理站的设备设施，如因工艺需要调整，确需改动时，需事先征得社康中心的同意方可改动；如因管理问题而出现设备或相关配套设施丢失或损坏，应全价赔偿或维修完好。如发生设备故障或突发事件，中标人必须配合社康中心做好应急处理方案及配合，确保污水达标排放。自然灾害、不可抗力的因素除外。</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每当污水处理站运作不正常及排水不达标时，中标人需以书面形式通知社康中心，并说明不正常的具体原因、持续时间、改进措施及恢复正常的期限。</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中标人在中标后15个日内提供详细具体的维保方案。</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中标人维保作业时，需严格遵守施工安全要求，施工作业期间施工人员的安全行为与事故责任由施工方全部承担。</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在维保期间必须无条件遵守珠海市香洲区拱北社区健康服务中心的管理规定，如疫情防控要求等。不得损坏社康中心的基础设施与财物，维修保养时需做好围挡及温馨提示工作，维保工作完成后需做好现场清理工作等。</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本项目包含并不限于对中心污水处理站运营维保工作，并负责污水处理站的清洁卫生及安全管理工作。</w:t>
      </w:r>
    </w:p>
    <w:p>
      <w:pPr>
        <w:keepNext w:val="0"/>
        <w:keepLines w:val="0"/>
        <w:pageBreakBefore w:val="0"/>
        <w:widowControl/>
        <w:numPr>
          <w:ilvl w:val="0"/>
          <w:numId w:val="4"/>
        </w:numPr>
        <w:kinsoku/>
        <w:wordWrap/>
        <w:overflowPunct/>
        <w:topLinePunct w:val="0"/>
        <w:autoSpaceDE/>
        <w:bidi w:val="0"/>
        <w:adjustRightInd w:val="0"/>
        <w:snapToGrid w:val="0"/>
        <w:spacing w:line="360" w:lineRule="auto"/>
        <w:ind w:left="20" w:leftChars="0" w:firstLine="400" w:firstLineChars="0"/>
        <w:jc w:val="left"/>
        <w:textAlignment w:val="auto"/>
        <w:rPr>
          <w:rFonts w:hint="eastAsia" w:ascii="宋体" w:hAnsi="宋体" w:cs="宋体"/>
          <w:b w:val="0"/>
          <w:bCs/>
          <w:sz w:val="24"/>
          <w:lang w:val="en-US" w:eastAsia="zh-CN"/>
        </w:rPr>
      </w:pPr>
      <w:r>
        <w:rPr>
          <w:rFonts w:hint="eastAsia" w:ascii="宋体" w:hAnsi="宋体" w:cs="宋体"/>
          <w:b w:val="0"/>
          <w:bCs/>
          <w:sz w:val="24"/>
          <w:lang w:val="en-US" w:eastAsia="zh-CN"/>
        </w:rPr>
        <w:t>中标人设立24小时值班电话且保证24小时通讯畅通，以便能及时联系响应。</w:t>
      </w:r>
    </w:p>
    <w:p>
      <w:pPr>
        <w:keepNext w:val="0"/>
        <w:keepLines w:val="0"/>
        <w:pageBreakBefore w:val="0"/>
        <w:widowControl/>
        <w:numPr>
          <w:ilvl w:val="0"/>
          <w:numId w:val="0"/>
        </w:numPr>
        <w:kinsoku/>
        <w:wordWrap/>
        <w:overflowPunct/>
        <w:topLinePunct w:val="0"/>
        <w:autoSpaceDE/>
        <w:autoSpaceDN w:val="0"/>
        <w:bidi w:val="0"/>
        <w:adjustRightInd w:val="0"/>
        <w:snapToGrid w:val="0"/>
        <w:spacing w:line="360" w:lineRule="auto"/>
        <w:ind w:leftChars="200"/>
        <w:jc w:val="left"/>
        <w:textAlignment w:val="auto"/>
        <w:rPr>
          <w:rFonts w:hint="eastAsia" w:ascii="宋体" w:hAnsi="宋体" w:eastAsia="宋体" w:cs="宋体"/>
          <w:bCs/>
          <w:sz w:val="24"/>
          <w:lang w:eastAsia="zh-CN"/>
        </w:rPr>
      </w:pPr>
      <w:r>
        <w:rPr>
          <w:rFonts w:hint="eastAsia" w:ascii="宋体" w:hAnsi="宋体" w:cs="宋体"/>
          <w:bCs/>
          <w:sz w:val="24"/>
          <w:lang w:val="en-US" w:eastAsia="zh-CN"/>
        </w:rPr>
        <w:t>19.运维</w:t>
      </w:r>
      <w:r>
        <w:rPr>
          <w:rFonts w:hint="eastAsia" w:ascii="宋体" w:hAnsi="宋体" w:eastAsia="宋体" w:cs="宋体"/>
          <w:bCs/>
          <w:sz w:val="24"/>
          <w:lang w:eastAsia="zh-CN"/>
        </w:rPr>
        <w:t>服务期限为1年。在合同期内，</w:t>
      </w:r>
      <w:r>
        <w:rPr>
          <w:rFonts w:hint="eastAsia" w:ascii="宋体" w:hAnsi="宋体" w:eastAsia="宋体" w:cs="宋体"/>
          <w:bCs/>
          <w:sz w:val="24"/>
          <w:lang w:val="en-US" w:eastAsia="zh-CN"/>
        </w:rPr>
        <w:t>社康中心</w:t>
      </w:r>
      <w:r>
        <w:rPr>
          <w:rFonts w:hint="eastAsia" w:ascii="宋体" w:hAnsi="宋体" w:eastAsia="宋体" w:cs="宋体"/>
          <w:bCs/>
          <w:sz w:val="24"/>
          <w:lang w:eastAsia="zh-CN"/>
        </w:rPr>
        <w:t>每月对</w:t>
      </w:r>
      <w:r>
        <w:rPr>
          <w:rFonts w:hint="eastAsia" w:ascii="宋体" w:hAnsi="宋体" w:eastAsia="宋体" w:cs="宋体"/>
          <w:bCs/>
          <w:sz w:val="24"/>
          <w:lang w:val="en-US" w:eastAsia="zh-CN"/>
        </w:rPr>
        <w:t>污水处理站</w:t>
      </w:r>
      <w:r>
        <w:rPr>
          <w:rFonts w:hint="eastAsia" w:ascii="宋体" w:hAnsi="宋体" w:cs="宋体"/>
          <w:bCs/>
          <w:sz w:val="24"/>
          <w:lang w:val="en-US" w:eastAsia="zh-CN"/>
        </w:rPr>
        <w:t>运</w:t>
      </w:r>
      <w:r>
        <w:rPr>
          <w:rFonts w:hint="eastAsia" w:ascii="宋体" w:hAnsi="宋体" w:eastAsia="宋体" w:cs="宋体"/>
          <w:bCs/>
          <w:sz w:val="24"/>
          <w:lang w:eastAsia="zh-CN"/>
        </w:rPr>
        <w:t>维工作进行考核，具体考核细则由社康中心根据实际情况制定。若连续3个月考核不达标，社康中心有权解除合同。</w:t>
      </w:r>
    </w:p>
    <w:p>
      <w:pPr>
        <w:pStyle w:val="2"/>
        <w:rPr>
          <w:rFonts w:hint="eastAsia"/>
          <w:lang w:val="en-US" w:eastAsia="zh-CN"/>
        </w:rPr>
      </w:pPr>
    </w:p>
    <w:p>
      <w:pPr>
        <w:pStyle w:val="2"/>
        <w:keepNext w:val="0"/>
        <w:keepLines w:val="0"/>
        <w:pageBreakBefore w:val="0"/>
        <w:kinsoku/>
        <w:wordWrap/>
        <w:overflowPunct/>
        <w:topLinePunct w:val="0"/>
        <w:autoSpaceDE/>
        <w:bidi w:val="0"/>
        <w:ind w:leftChars="0" w:firstLine="468" w:firstLineChars="200"/>
        <w:textAlignment w:val="auto"/>
        <w:rPr>
          <w:rFonts w:hint="eastAsia"/>
          <w:lang w:eastAsia="zh-CN"/>
        </w:rPr>
      </w:pPr>
    </w:p>
    <w:p>
      <w:pPr>
        <w:ind w:firstLine="628" w:firstLineChars="200"/>
        <w:rPr>
          <w:rFonts w:hint="eastAsia" w:ascii="宋体" w:hAnsi="宋体" w:eastAsia="宋体" w:cs="宋体"/>
          <w:spacing w:val="-3"/>
          <w:kern w:val="2"/>
          <w:sz w:val="32"/>
          <w:szCs w:val="28"/>
          <w:lang w:val="en-US" w:eastAsia="zh-CN" w:bidi="zh-CN"/>
        </w:rPr>
      </w:pPr>
    </w:p>
    <w:p>
      <w:pPr>
        <w:pStyle w:val="4"/>
        <w:spacing w:before="1"/>
        <w:jc w:val="both"/>
      </w:pPr>
      <w:r>
        <w:t>第</w:t>
      </w:r>
      <w:r>
        <w:rPr>
          <w:rFonts w:hint="eastAsia"/>
          <w:lang w:eastAsia="zh-CN"/>
        </w:rPr>
        <w:t>四</w:t>
      </w:r>
      <w:r>
        <w:t>章、报价文件</w:t>
      </w:r>
    </w:p>
    <w:p>
      <w:pPr>
        <w:pStyle w:val="10"/>
        <w:keepNext w:val="0"/>
        <w:keepLines w:val="0"/>
        <w:widowControl w:val="0"/>
        <w:shd w:val="clear" w:color="auto" w:fill="auto"/>
        <w:bidi w:val="0"/>
        <w:spacing w:before="0" w:after="160" w:line="240" w:lineRule="auto"/>
        <w:ind w:left="0" w:right="0" w:firstLine="1807" w:firstLineChars="500"/>
        <w:jc w:val="both"/>
        <w:rPr>
          <w:rFonts w:hint="eastAsia" w:cs="宋体"/>
          <w:b/>
          <w:bCs/>
          <w:kern w:val="2"/>
          <w:sz w:val="36"/>
          <w:szCs w:val="36"/>
          <w:u w:val="none"/>
          <w:shd w:val="clear"/>
          <w:lang w:val="en-US" w:eastAsia="zh-CN" w:bidi="zh-CN"/>
        </w:rPr>
      </w:pPr>
    </w:p>
    <w:p>
      <w:pPr>
        <w:pStyle w:val="10"/>
        <w:keepNext w:val="0"/>
        <w:keepLines w:val="0"/>
        <w:widowControl w:val="0"/>
        <w:shd w:val="clear" w:color="auto" w:fill="auto"/>
        <w:bidi w:val="0"/>
        <w:spacing w:before="0" w:after="160" w:line="240" w:lineRule="auto"/>
        <w:ind w:left="0" w:leftChars="0" w:right="0" w:firstLine="2530" w:firstLineChars="900"/>
        <w:jc w:val="both"/>
        <w:rPr>
          <w:sz w:val="22"/>
          <w:szCs w:val="22"/>
        </w:rPr>
      </w:pPr>
      <w:r>
        <w:rPr>
          <w:rFonts w:hint="eastAsia" w:cs="宋体"/>
          <w:b/>
          <w:bCs/>
          <w:kern w:val="2"/>
          <w:sz w:val="28"/>
          <w:szCs w:val="28"/>
          <w:u w:val="none"/>
          <w:shd w:val="clear"/>
          <w:lang w:val="en-US" w:eastAsia="zh-CN" w:bidi="zh-CN"/>
        </w:rPr>
        <w:t>污水处理</w:t>
      </w:r>
      <w:r>
        <w:rPr>
          <w:rFonts w:ascii="宋体" w:hAnsi="宋体" w:eastAsia="宋体" w:cs="宋体"/>
          <w:b/>
          <w:bCs/>
          <w:kern w:val="2"/>
          <w:sz w:val="28"/>
          <w:szCs w:val="28"/>
          <w:u w:val="none"/>
          <w:shd w:val="clear"/>
          <w:lang w:val="zh-CN" w:eastAsia="zh-CN" w:bidi="zh-CN"/>
        </w:rPr>
        <w:t>运</w:t>
      </w:r>
      <w:r>
        <w:rPr>
          <w:rFonts w:hint="eastAsia" w:cs="宋体"/>
          <w:b/>
          <w:bCs/>
          <w:kern w:val="2"/>
          <w:sz w:val="28"/>
          <w:szCs w:val="28"/>
          <w:u w:val="none"/>
          <w:shd w:val="clear"/>
          <w:lang w:val="en-US" w:eastAsia="zh-CN" w:bidi="zh-CN"/>
        </w:rPr>
        <w:t>维</w:t>
      </w:r>
      <w:r>
        <w:rPr>
          <w:rFonts w:ascii="宋体" w:hAnsi="宋体" w:eastAsia="宋体" w:cs="宋体"/>
          <w:b/>
          <w:bCs/>
          <w:kern w:val="2"/>
          <w:sz w:val="28"/>
          <w:szCs w:val="28"/>
          <w:u w:val="none"/>
          <w:shd w:val="clear"/>
          <w:lang w:val="zh-CN" w:eastAsia="zh-CN" w:bidi="zh-CN"/>
        </w:rPr>
        <w:t>费用明细表</w:t>
      </w:r>
    </w:p>
    <w:tbl>
      <w:tblPr>
        <w:tblStyle w:val="7"/>
        <w:tblW w:w="9453" w:type="dxa"/>
        <w:jc w:val="center"/>
        <w:tblLayout w:type="fixed"/>
        <w:tblCellMar>
          <w:top w:w="0" w:type="dxa"/>
          <w:left w:w="10" w:type="dxa"/>
          <w:bottom w:w="0" w:type="dxa"/>
          <w:right w:w="10" w:type="dxa"/>
        </w:tblCellMar>
      </w:tblPr>
      <w:tblGrid>
        <w:gridCol w:w="475"/>
        <w:gridCol w:w="860"/>
        <w:gridCol w:w="2585"/>
        <w:gridCol w:w="793"/>
        <w:gridCol w:w="1572"/>
        <w:gridCol w:w="1665"/>
        <w:gridCol w:w="1503"/>
      </w:tblGrid>
      <w:tr>
        <w:tblPrEx>
          <w:tblCellMar>
            <w:top w:w="0" w:type="dxa"/>
            <w:left w:w="10" w:type="dxa"/>
            <w:bottom w:w="0" w:type="dxa"/>
            <w:right w:w="10" w:type="dxa"/>
          </w:tblCellMar>
        </w:tblPrEx>
        <w:trPr>
          <w:trHeight w:val="605"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left"/>
              <w:rPr>
                <w:sz w:val="22"/>
                <w:szCs w:val="22"/>
              </w:rPr>
            </w:pPr>
            <w:r>
              <w:rPr>
                <w:color w:val="000000"/>
                <w:spacing w:val="0"/>
                <w:w w:val="100"/>
                <w:position w:val="0"/>
                <w:sz w:val="22"/>
                <w:szCs w:val="22"/>
              </w:rPr>
              <w:t>序号</w:t>
            </w:r>
          </w:p>
        </w:tc>
        <w:tc>
          <w:tcPr>
            <w:tcW w:w="3445" w:type="dxa"/>
            <w:gridSpan w:val="2"/>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费用项目</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数量</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单位</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单价（月/元）</w:t>
            </w: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年费用（元）</w:t>
            </w:r>
          </w:p>
        </w:tc>
      </w:tr>
      <w:tr>
        <w:tblPrEx>
          <w:tblCellMar>
            <w:top w:w="0" w:type="dxa"/>
            <w:left w:w="10" w:type="dxa"/>
            <w:bottom w:w="0" w:type="dxa"/>
            <w:right w:w="10" w:type="dxa"/>
          </w:tblCellMar>
        </w:tblPrEx>
        <w:trPr>
          <w:trHeight w:val="590"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1</w:t>
            </w:r>
          </w:p>
        </w:tc>
        <w:tc>
          <w:tcPr>
            <w:tcW w:w="860" w:type="dxa"/>
            <w:vMerge w:val="restart"/>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管理费</w:t>
            </w: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流动操作工</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rPr>
              <w:t>1</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人</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r>
      <w:tr>
        <w:tblPrEx>
          <w:tblCellMar>
            <w:top w:w="0" w:type="dxa"/>
            <w:left w:w="10" w:type="dxa"/>
            <w:bottom w:w="0" w:type="dxa"/>
            <w:right w:w="10" w:type="dxa"/>
          </w:tblCellMar>
        </w:tblPrEx>
        <w:trPr>
          <w:trHeight w:val="598"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5</w:t>
            </w:r>
          </w:p>
        </w:tc>
        <w:tc>
          <w:tcPr>
            <w:tcW w:w="860" w:type="dxa"/>
            <w:vMerge w:val="continue"/>
            <w:tcBorders>
              <w:left w:val="single" w:color="auto" w:sz="4" w:space="0"/>
            </w:tcBorders>
            <w:shd w:val="clear" w:color="auto" w:fill="auto"/>
            <w:vAlign w:val="center"/>
          </w:tcPr>
          <w:p>
            <w:pPr>
              <w:jc w:val="center"/>
            </w:pP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hint="eastAsia"/>
                <w:color w:val="000000"/>
                <w:spacing w:val="0"/>
                <w:w w:val="100"/>
                <w:position w:val="0"/>
                <w:sz w:val="22"/>
                <w:szCs w:val="22"/>
                <w:lang w:val="en-US" w:eastAsia="zh-CN"/>
              </w:rPr>
              <w:t>维护</w:t>
            </w:r>
            <w:r>
              <w:rPr>
                <w:color w:val="000000"/>
                <w:spacing w:val="0"/>
                <w:w w:val="100"/>
                <w:position w:val="0"/>
                <w:sz w:val="22"/>
                <w:szCs w:val="22"/>
              </w:rPr>
              <w:t>、风险费用等</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rPr>
              <w:t>1</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项</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r>
      <w:tr>
        <w:tblPrEx>
          <w:tblCellMar>
            <w:top w:w="0" w:type="dxa"/>
            <w:left w:w="10" w:type="dxa"/>
            <w:bottom w:w="0" w:type="dxa"/>
            <w:right w:w="10" w:type="dxa"/>
          </w:tblCellMar>
        </w:tblPrEx>
        <w:trPr>
          <w:trHeight w:val="583"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6</w:t>
            </w:r>
          </w:p>
        </w:tc>
        <w:tc>
          <w:tcPr>
            <w:tcW w:w="860" w:type="dxa"/>
            <w:vMerge w:val="restart"/>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检测费</w:t>
            </w: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lang w:val="en-US" w:eastAsia="en-US" w:bidi="en-US"/>
              </w:rPr>
              <w:t>SS</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rPr>
              <w:t>52</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周/次</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540" w:firstLineChars="0"/>
              <w:jc w:val="both"/>
              <w:rPr>
                <w:sz w:val="22"/>
                <w:szCs w:val="22"/>
              </w:rPr>
            </w:pPr>
          </w:p>
        </w:tc>
      </w:tr>
      <w:tr>
        <w:tblPrEx>
          <w:tblCellMar>
            <w:top w:w="0" w:type="dxa"/>
            <w:left w:w="10" w:type="dxa"/>
            <w:bottom w:w="0" w:type="dxa"/>
            <w:right w:w="10" w:type="dxa"/>
          </w:tblCellMar>
        </w:tblPrEx>
        <w:trPr>
          <w:trHeight w:val="598"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7</w:t>
            </w:r>
          </w:p>
        </w:tc>
        <w:tc>
          <w:tcPr>
            <w:tcW w:w="860" w:type="dxa"/>
            <w:vMerge w:val="continue"/>
            <w:tcBorders>
              <w:left w:val="single" w:color="auto" w:sz="4" w:space="0"/>
            </w:tcBorders>
            <w:shd w:val="clear" w:color="auto" w:fill="auto"/>
            <w:vAlign w:val="center"/>
          </w:tcPr>
          <w:p>
            <w:pPr>
              <w:jc w:val="center"/>
            </w:pP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lang w:val="en-US" w:eastAsia="en-US" w:bidi="en-US"/>
              </w:rPr>
              <w:t>COD</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rPr>
              <w:t>52</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sz w:val="22"/>
                <w:szCs w:val="22"/>
              </w:rPr>
            </w:pPr>
            <w:r>
              <w:rPr>
                <w:color w:val="000000"/>
                <w:spacing w:val="0"/>
                <w:w w:val="100"/>
                <w:position w:val="0"/>
                <w:sz w:val="22"/>
                <w:szCs w:val="22"/>
              </w:rPr>
              <w:t>周/次</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r>
      <w:tr>
        <w:tblPrEx>
          <w:tblCellMar>
            <w:top w:w="0" w:type="dxa"/>
            <w:left w:w="10" w:type="dxa"/>
            <w:bottom w:w="0" w:type="dxa"/>
            <w:right w:w="10" w:type="dxa"/>
          </w:tblCellMar>
        </w:tblPrEx>
        <w:trPr>
          <w:trHeight w:val="590" w:hRule="exact"/>
          <w:jc w:val="center"/>
        </w:trPr>
        <w:tc>
          <w:tcPr>
            <w:tcW w:w="475" w:type="dxa"/>
            <w:tcBorders>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9</w:t>
            </w:r>
          </w:p>
        </w:tc>
        <w:tc>
          <w:tcPr>
            <w:tcW w:w="860" w:type="dxa"/>
            <w:vMerge w:val="continue"/>
            <w:tcBorders>
              <w:left w:val="single" w:color="auto" w:sz="4" w:space="0"/>
            </w:tcBorders>
            <w:shd w:val="clear" w:color="auto" w:fill="auto"/>
            <w:vAlign w:val="center"/>
          </w:tcPr>
          <w:p>
            <w:pPr>
              <w:jc w:val="center"/>
            </w:pP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粪大肠菌群</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rPr>
              <w:t>12</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月/次</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540" w:firstLineChars="0"/>
              <w:jc w:val="both"/>
              <w:rPr>
                <w:sz w:val="22"/>
                <w:szCs w:val="22"/>
              </w:rPr>
            </w:pPr>
          </w:p>
        </w:tc>
      </w:tr>
      <w:tr>
        <w:tblPrEx>
          <w:tblCellMar>
            <w:top w:w="0" w:type="dxa"/>
            <w:left w:w="10" w:type="dxa"/>
            <w:bottom w:w="0" w:type="dxa"/>
            <w:right w:w="10" w:type="dxa"/>
          </w:tblCellMar>
        </w:tblPrEx>
        <w:trPr>
          <w:trHeight w:val="590" w:hRule="exact"/>
          <w:jc w:val="center"/>
        </w:trPr>
        <w:tc>
          <w:tcPr>
            <w:tcW w:w="475" w:type="dxa"/>
            <w:tcBorders>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rFonts w:ascii="Times New Roman" w:hAnsi="Times New Roman" w:eastAsia="Times New Roman" w:cs="Times New Roman"/>
                <w:color w:val="000000"/>
                <w:spacing w:val="0"/>
                <w:w w:val="100"/>
                <w:position w:val="0"/>
                <w:sz w:val="22"/>
                <w:szCs w:val="22"/>
              </w:rPr>
            </w:pPr>
          </w:p>
        </w:tc>
        <w:tc>
          <w:tcPr>
            <w:tcW w:w="860" w:type="dxa"/>
            <w:vMerge w:val="continue"/>
            <w:tcBorders>
              <w:left w:val="single" w:color="auto" w:sz="4" w:space="0"/>
            </w:tcBorders>
            <w:shd w:val="clear" w:color="auto" w:fill="auto"/>
            <w:vAlign w:val="center"/>
          </w:tcPr>
          <w:p>
            <w:pPr>
              <w:jc w:val="center"/>
            </w:pP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沙门氏菌</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rFonts w:ascii="Times New Roman" w:hAnsi="Times New Roman" w:eastAsia="Times New Roman" w:cs="Times New Roman"/>
                <w:color w:val="000000"/>
                <w:spacing w:val="0"/>
                <w:w w:val="100"/>
                <w:position w:val="0"/>
                <w:sz w:val="22"/>
                <w:szCs w:val="22"/>
              </w:rPr>
              <w:t>4</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r>
              <w:rPr>
                <w:color w:val="000000"/>
                <w:spacing w:val="0"/>
                <w:w w:val="100"/>
                <w:position w:val="0"/>
                <w:sz w:val="22"/>
                <w:szCs w:val="22"/>
              </w:rPr>
              <w:t>季/次</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2"/>
                <w:szCs w:val="22"/>
                <w:u w:val="none"/>
                <w:shd w:val="clear" w:color="auto" w:fill="auto"/>
                <w:lang w:val="zh-TW" w:eastAsia="zh-TW" w:bidi="zh-TW"/>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540" w:firstLineChars="0"/>
              <w:jc w:val="both"/>
              <w:rPr>
                <w:rFonts w:ascii="宋体" w:hAnsi="宋体" w:eastAsia="宋体" w:cs="宋体"/>
                <w:kern w:val="2"/>
                <w:sz w:val="22"/>
                <w:szCs w:val="22"/>
                <w:u w:val="none"/>
                <w:shd w:val="clear" w:color="auto" w:fill="auto"/>
                <w:lang w:val="zh-TW" w:eastAsia="zh-TW" w:bidi="zh-TW"/>
              </w:rPr>
            </w:pPr>
          </w:p>
        </w:tc>
      </w:tr>
      <w:tr>
        <w:tblPrEx>
          <w:tblCellMar>
            <w:top w:w="0" w:type="dxa"/>
            <w:left w:w="10" w:type="dxa"/>
            <w:bottom w:w="0" w:type="dxa"/>
            <w:right w:w="10" w:type="dxa"/>
          </w:tblCellMar>
        </w:tblPrEx>
        <w:trPr>
          <w:trHeight w:val="958"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10</w:t>
            </w:r>
          </w:p>
        </w:tc>
        <w:tc>
          <w:tcPr>
            <w:tcW w:w="860" w:type="dxa"/>
            <w:vMerge w:val="continue"/>
            <w:tcBorders>
              <w:top w:val="single" w:color="auto" w:sz="4" w:space="0"/>
              <w:left w:val="single" w:color="auto" w:sz="4" w:space="0"/>
            </w:tcBorders>
            <w:shd w:val="clear" w:color="auto" w:fill="auto"/>
            <w:vAlign w:val="center"/>
          </w:tcPr>
          <w:p>
            <w:pPr>
              <w:jc w:val="center"/>
              <w:rPr>
                <w:sz w:val="22"/>
                <w:szCs w:val="22"/>
              </w:rPr>
            </w:pP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志贺氏菌</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rFonts w:ascii="Times New Roman" w:hAnsi="Times New Roman" w:eastAsia="Times New Roman" w:cs="Times New Roman"/>
                <w:color w:val="000000"/>
                <w:spacing w:val="0"/>
                <w:w w:val="100"/>
                <w:position w:val="0"/>
                <w:sz w:val="22"/>
                <w:szCs w:val="22"/>
              </w:rPr>
              <w:t>2</w:t>
            </w: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半年/次</w:t>
            </w: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540" w:firstLineChars="0"/>
              <w:jc w:val="both"/>
              <w:rPr>
                <w:sz w:val="22"/>
                <w:szCs w:val="22"/>
              </w:rPr>
            </w:pPr>
          </w:p>
        </w:tc>
      </w:tr>
      <w:tr>
        <w:tblPrEx>
          <w:tblCellMar>
            <w:top w:w="0" w:type="dxa"/>
            <w:left w:w="10" w:type="dxa"/>
            <w:bottom w:w="0" w:type="dxa"/>
            <w:right w:w="10" w:type="dxa"/>
          </w:tblCellMar>
        </w:tblPrEx>
        <w:trPr>
          <w:trHeight w:val="653" w:hRule="exact"/>
          <w:jc w:val="center"/>
        </w:trPr>
        <w:tc>
          <w:tcPr>
            <w:tcW w:w="47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11</w:t>
            </w:r>
          </w:p>
        </w:tc>
        <w:tc>
          <w:tcPr>
            <w:tcW w:w="86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r>
              <w:rPr>
                <w:color w:val="000000"/>
                <w:spacing w:val="0"/>
                <w:w w:val="100"/>
                <w:position w:val="0"/>
                <w:sz w:val="22"/>
                <w:szCs w:val="22"/>
              </w:rPr>
              <w:t>药剂费</w:t>
            </w:r>
          </w:p>
        </w:tc>
        <w:tc>
          <w:tcPr>
            <w:tcW w:w="258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both"/>
            </w:pPr>
            <w:r>
              <w:rPr>
                <w:color w:val="000000"/>
                <w:spacing w:val="0"/>
                <w:w w:val="100"/>
                <w:position w:val="0"/>
                <w:sz w:val="22"/>
                <w:szCs w:val="22"/>
              </w:rPr>
              <w:t>（按</w:t>
            </w:r>
            <w:r>
              <w:rPr>
                <w:rFonts w:ascii="Times New Roman" w:hAnsi="Times New Roman" w:eastAsia="Times New Roman" w:cs="Times New Roman"/>
                <w:color w:val="000000"/>
                <w:spacing w:val="0"/>
                <w:w w:val="100"/>
                <w:position w:val="0"/>
                <w:sz w:val="22"/>
                <w:szCs w:val="22"/>
                <w:lang w:val="en-US" w:eastAsia="en-US" w:bidi="en-US"/>
              </w:rPr>
              <w:t>20m</w:t>
            </w:r>
            <w:r>
              <w:rPr>
                <w:rFonts w:ascii="Times New Roman" w:hAnsi="Times New Roman" w:eastAsia="Times New Roman" w:cs="Times New Roman"/>
                <w:color w:val="000000"/>
                <w:spacing w:val="0"/>
                <w:w w:val="100"/>
                <w:position w:val="0"/>
                <w:sz w:val="22"/>
                <w:szCs w:val="22"/>
                <w:vertAlign w:val="superscript"/>
                <w:lang w:val="en-US" w:eastAsia="en-US" w:bidi="en-US"/>
              </w:rPr>
              <w:t>3</w:t>
            </w:r>
            <w:r>
              <w:rPr>
                <w:rFonts w:ascii="Times New Roman" w:hAnsi="Times New Roman" w:eastAsia="Times New Roman" w:cs="Times New Roman"/>
                <w:color w:val="000000"/>
                <w:spacing w:val="0"/>
                <w:w w:val="100"/>
                <w:position w:val="0"/>
                <w:sz w:val="22"/>
                <w:szCs w:val="22"/>
                <w:lang w:val="en-US" w:eastAsia="en-US" w:bidi="en-US"/>
              </w:rPr>
              <w:t>/d</w:t>
            </w:r>
            <w:r>
              <w:rPr>
                <w:color w:val="000000"/>
                <w:spacing w:val="0"/>
                <w:w w:val="100"/>
                <w:position w:val="0"/>
                <w:sz w:val="22"/>
                <w:szCs w:val="22"/>
              </w:rPr>
              <w:t>处理量）</w:t>
            </w:r>
          </w:p>
        </w:tc>
        <w:tc>
          <w:tcPr>
            <w:tcW w:w="793"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pPr>
          </w:p>
        </w:tc>
        <w:tc>
          <w:tcPr>
            <w:tcW w:w="1572"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sz w:val="22"/>
                <w:szCs w:val="22"/>
              </w:rPr>
            </w:pPr>
          </w:p>
        </w:tc>
        <w:tc>
          <w:tcPr>
            <w:tcW w:w="1665"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pPr>
          </w:p>
        </w:tc>
        <w:tc>
          <w:tcPr>
            <w:tcW w:w="150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540" w:firstLineChars="0"/>
              <w:jc w:val="both"/>
              <w:rPr>
                <w:sz w:val="22"/>
                <w:szCs w:val="22"/>
              </w:rPr>
            </w:pPr>
          </w:p>
        </w:tc>
      </w:tr>
      <w:tr>
        <w:tblPrEx>
          <w:tblCellMar>
            <w:top w:w="0" w:type="dxa"/>
            <w:left w:w="10" w:type="dxa"/>
            <w:bottom w:w="0" w:type="dxa"/>
            <w:right w:w="10" w:type="dxa"/>
          </w:tblCellMar>
        </w:tblPrEx>
        <w:trPr>
          <w:trHeight w:val="605" w:hRule="exact"/>
          <w:jc w:val="center"/>
        </w:trPr>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220" w:firstLineChars="0"/>
              <w:jc w:val="left"/>
              <w:rPr>
                <w:sz w:val="22"/>
                <w:szCs w:val="22"/>
              </w:rPr>
            </w:pPr>
            <w:r>
              <w:rPr>
                <w:rFonts w:ascii="Times New Roman" w:hAnsi="Times New Roman" w:eastAsia="Times New Roman" w:cs="Times New Roman"/>
                <w:color w:val="000000"/>
                <w:spacing w:val="0"/>
                <w:w w:val="100"/>
                <w:position w:val="0"/>
                <w:sz w:val="22"/>
                <w:szCs w:val="22"/>
              </w:rPr>
              <w:t>12</w:t>
            </w:r>
          </w:p>
        </w:tc>
        <w:tc>
          <w:tcPr>
            <w:tcW w:w="4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2"/>
                <w:szCs w:val="22"/>
              </w:rPr>
              <w:t>合计</w:t>
            </w:r>
          </w:p>
        </w:tc>
        <w:tc>
          <w:tcPr>
            <w:tcW w:w="32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sz w:val="22"/>
                <w:szCs w:val="22"/>
              </w:rPr>
              <w:t>此报价含税</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pPr>
          </w:p>
        </w:tc>
      </w:tr>
    </w:tbl>
    <w:p>
      <w:pPr>
        <w:pStyle w:val="2"/>
        <w:keepNext w:val="0"/>
        <w:keepLines w:val="0"/>
        <w:pageBreakBefore w:val="0"/>
        <w:widowControl w:val="0"/>
        <w:kinsoku w:val="0"/>
        <w:wordWrap/>
        <w:overflowPunct/>
        <w:topLinePunct w:val="0"/>
        <w:autoSpaceDE/>
        <w:autoSpaceDN/>
        <w:bidi w:val="0"/>
        <w:adjustRightInd/>
        <w:snapToGrid/>
        <w:textAlignment w:val="auto"/>
        <w:rPr>
          <w:rFonts w:hint="eastAsia" w:ascii="宋体" w:hAnsi="宋体" w:eastAsia="宋体" w:cs="宋体"/>
          <w:bCs/>
          <w:sz w:val="24"/>
          <w:lang w:eastAsia="zh-CN"/>
        </w:rPr>
      </w:pPr>
    </w:p>
    <w:p>
      <w:pPr>
        <w:pStyle w:val="3"/>
        <w:rPr>
          <w:rFonts w:hint="eastAsia"/>
          <w:lang w:eastAsia="zh-CN"/>
        </w:rPr>
      </w:pPr>
    </w:p>
    <w:p>
      <w:pPr>
        <w:widowControl/>
        <w:adjustRightInd w:val="0"/>
        <w:snapToGrid w:val="0"/>
        <w:spacing w:line="360" w:lineRule="auto"/>
        <w:ind w:firstLine="482" w:firstLineChars="200"/>
        <w:rPr>
          <w:rFonts w:hint="eastAsia" w:ascii="宋体" w:hAnsi="宋体" w:cs="宋体"/>
          <w:b/>
          <w:bCs w:val="0"/>
          <w:sz w:val="24"/>
          <w:lang w:val="en-US" w:eastAsia="zh-CN"/>
        </w:rPr>
      </w:pPr>
    </w:p>
    <w:p>
      <w:pPr>
        <w:widowControl/>
        <w:adjustRightInd w:val="0"/>
        <w:snapToGrid w:val="0"/>
        <w:spacing w:line="360" w:lineRule="auto"/>
        <w:ind w:firstLine="482" w:firstLineChars="200"/>
        <w:rPr>
          <w:rFonts w:hint="eastAsia" w:ascii="宋体" w:hAnsi="宋体" w:cs="宋体"/>
          <w:b/>
          <w:bCs w:val="0"/>
          <w:sz w:val="24"/>
          <w:lang w:val="en-US" w:eastAsia="zh-CN"/>
        </w:rPr>
      </w:pPr>
      <w:r>
        <w:rPr>
          <w:rFonts w:hint="eastAsia" w:ascii="宋体" w:hAnsi="宋体" w:cs="宋体"/>
          <w:b/>
          <w:bCs w:val="0"/>
          <w:sz w:val="24"/>
          <w:lang w:val="en-US" w:eastAsia="zh-CN"/>
        </w:rPr>
        <w:t>四、付款方式</w:t>
      </w:r>
    </w:p>
    <w:p>
      <w:pPr>
        <w:widowControl/>
        <w:adjustRightInd w:val="0"/>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经每月社康中心考核后，根据考核结果每3个月支付维保费用。每一季末，社康中心于收到中标人开出的合法有效等额发票及出具的经社康中心书面审核合格的维保工作报告后，3个月内向中标人支付该季度</w:t>
      </w:r>
      <w:bookmarkStart w:id="0" w:name="_GoBack"/>
      <w:bookmarkEnd w:id="0"/>
      <w:r>
        <w:rPr>
          <w:rFonts w:hint="eastAsia" w:ascii="宋体" w:hAnsi="宋体" w:cs="宋体"/>
          <w:bCs/>
          <w:sz w:val="24"/>
          <w:lang w:val="en-US" w:eastAsia="zh-CN"/>
        </w:rPr>
        <w:t>的维护保养费。</w:t>
      </w:r>
    </w:p>
    <w:p>
      <w:pPr>
        <w:widowControl/>
        <w:adjustRightInd w:val="0"/>
        <w:snapToGrid w:val="0"/>
        <w:spacing w:line="360" w:lineRule="auto"/>
        <w:ind w:firstLine="480" w:firstLineChars="200"/>
        <w:rPr>
          <w:rFonts w:hint="eastAsia" w:ascii="宋体" w:hAnsi="宋体" w:cs="宋体"/>
          <w:bCs/>
          <w:sz w:val="24"/>
          <w:lang w:val="en-US" w:eastAsia="zh-CN"/>
        </w:rPr>
      </w:pPr>
    </w:p>
    <w:p>
      <w:pPr>
        <w:widowControl/>
        <w:adjustRightInd w:val="0"/>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 xml:space="preserve">                                             </w:t>
      </w:r>
    </w:p>
    <w:p>
      <w:pPr>
        <w:widowControl/>
        <w:adjustRightInd w:val="0"/>
        <w:snapToGrid w:val="0"/>
        <w:spacing w:line="360" w:lineRule="auto"/>
        <w:ind w:firstLine="3600" w:firstLineChars="1500"/>
        <w:rPr>
          <w:rFonts w:hint="eastAsia" w:ascii="宋体" w:hAnsi="宋体" w:cs="宋体"/>
          <w:bCs/>
          <w:sz w:val="24"/>
          <w:lang w:val="en-US" w:eastAsia="zh-CN"/>
        </w:rPr>
      </w:pPr>
      <w:r>
        <w:rPr>
          <w:rFonts w:hint="eastAsia" w:ascii="宋体" w:hAnsi="宋体" w:cs="宋体"/>
          <w:bCs/>
          <w:sz w:val="24"/>
          <w:lang w:val="en-US" w:eastAsia="zh-CN"/>
        </w:rPr>
        <w:t>珠海市香洲区拱北社区健康服务中心</w:t>
      </w:r>
    </w:p>
    <w:p>
      <w:pPr>
        <w:pStyle w:val="2"/>
      </w:pPr>
    </w:p>
    <w:p>
      <w:pPr>
        <w:pStyle w:val="3"/>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numPr>
          <w:ilvl w:val="0"/>
          <w:numId w:val="0"/>
        </w:numPr>
        <w:rPr>
          <w:rFonts w:hint="eastAsia"/>
        </w:rPr>
      </w:pPr>
      <w:r>
        <w:rPr>
          <w:rFonts w:hint="eastAsia"/>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998EC"/>
    <w:multiLevelType w:val="singleLevel"/>
    <w:tmpl w:val="94B998EC"/>
    <w:lvl w:ilvl="0" w:tentative="0">
      <w:start w:val="1"/>
      <w:numFmt w:val="decimal"/>
      <w:suff w:val="nothing"/>
      <w:lvlText w:val="%1．"/>
      <w:lvlJc w:val="left"/>
      <w:pPr>
        <w:ind w:left="0" w:firstLine="400"/>
      </w:pPr>
      <w:rPr>
        <w:rFonts w:hint="default"/>
      </w:rPr>
    </w:lvl>
  </w:abstractNum>
  <w:abstractNum w:abstractNumId="1">
    <w:nsid w:val="96238610"/>
    <w:multiLevelType w:val="singleLevel"/>
    <w:tmpl w:val="96238610"/>
    <w:lvl w:ilvl="0" w:tentative="0">
      <w:start w:val="1"/>
      <w:numFmt w:val="decimal"/>
      <w:suff w:val="nothing"/>
      <w:lvlText w:val="%1．"/>
      <w:lvlJc w:val="left"/>
      <w:pPr>
        <w:ind w:left="20" w:firstLine="400"/>
      </w:pPr>
      <w:rPr>
        <w:rFonts w:hint="default"/>
        <w:b w:val="0"/>
        <w:bCs w:val="0"/>
      </w:rPr>
    </w:lvl>
  </w:abstractNum>
  <w:abstractNum w:abstractNumId="2">
    <w:nsid w:val="EBD53238"/>
    <w:multiLevelType w:val="singleLevel"/>
    <w:tmpl w:val="EBD53238"/>
    <w:lvl w:ilvl="0" w:tentative="0">
      <w:start w:val="1"/>
      <w:numFmt w:val="decimal"/>
      <w:suff w:val="nothing"/>
      <w:lvlText w:val="%1．"/>
      <w:lvlJc w:val="left"/>
      <w:pPr>
        <w:ind w:left="-60" w:firstLine="400"/>
      </w:pPr>
      <w:rPr>
        <w:rFonts w:hint="default"/>
      </w:rPr>
    </w:lvl>
  </w:abstractNum>
  <w:abstractNum w:abstractNumId="3">
    <w:nsid w:val="056CACCB"/>
    <w:multiLevelType w:val="singleLevel"/>
    <w:tmpl w:val="056CACCB"/>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YTBmOGMwODFkOTZjNWNkNDAxNTI2YWZlYjBiNjAifQ=="/>
  </w:docVars>
  <w:rsids>
    <w:rsidRoot w:val="01B25482"/>
    <w:rsid w:val="01B25482"/>
    <w:rsid w:val="0B1E4F61"/>
    <w:rsid w:val="12977961"/>
    <w:rsid w:val="1C0F0A4F"/>
    <w:rsid w:val="28CD7CC8"/>
    <w:rsid w:val="340D18C0"/>
    <w:rsid w:val="402C339F"/>
    <w:rsid w:val="4B007631"/>
    <w:rsid w:val="52D926A8"/>
    <w:rsid w:val="588418A2"/>
    <w:rsid w:val="5BBF000A"/>
    <w:rsid w:val="659C2C60"/>
    <w:rsid w:val="7E2A5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ind w:left="2764" w:right="2784"/>
      <w:jc w:val="center"/>
      <w:outlineLvl w:val="1"/>
    </w:pPr>
    <w:rPr>
      <w:rFonts w:ascii="宋体" w:hAnsi="宋体" w:eastAsia="宋体" w:cs="宋体"/>
      <w:b/>
      <w:bCs/>
      <w:sz w:val="36"/>
      <w:szCs w:val="36"/>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color w:val="FF0000"/>
      <w:spacing w:val="12"/>
      <w:position w:val="-2"/>
    </w:rPr>
  </w:style>
  <w:style w:type="paragraph" w:styleId="3">
    <w:name w:val="Body Text First Indent"/>
    <w:basedOn w:val="2"/>
    <w:qFormat/>
    <w:uiPriority w:val="0"/>
    <w:pPr>
      <w:tabs>
        <w:tab w:val="left" w:pos="567"/>
      </w:tabs>
      <w:ind w:firstLine="420" w:firstLineChars="100"/>
    </w:pPr>
  </w:style>
  <w:style w:type="paragraph" w:styleId="5">
    <w:name w:val="Body Text Indent"/>
    <w:basedOn w:val="1"/>
    <w:qFormat/>
    <w:uiPriority w:val="0"/>
    <w:pPr>
      <w:spacing w:line="360" w:lineRule="auto"/>
      <w:ind w:left="716" w:leftChars="341" w:firstLine="2"/>
    </w:pPr>
    <w:rPr>
      <w:rFonts w:ascii="宋体" w:hAnsi="宋体"/>
      <w:bCs/>
    </w:rPr>
  </w:style>
  <w:style w:type="paragraph" w:styleId="6">
    <w:name w:val="footer"/>
    <w:basedOn w:val="1"/>
    <w:qFormat/>
    <w:uiPriority w:val="0"/>
    <w:pPr>
      <w:tabs>
        <w:tab w:val="center" w:pos="4153"/>
        <w:tab w:val="right" w:pos="8306"/>
      </w:tabs>
      <w:snapToGrid w:val="0"/>
      <w:jc w:val="left"/>
    </w:pPr>
    <w:rPr>
      <w:sz w:val="18"/>
      <w:szCs w:val="18"/>
    </w:rPr>
  </w:style>
  <w:style w:type="paragraph" w:styleId="9">
    <w:name w:val="List Paragraph"/>
    <w:basedOn w:val="1"/>
    <w:qFormat/>
    <w:uiPriority w:val="1"/>
    <w:pPr>
      <w:ind w:left="437" w:hanging="422"/>
    </w:pPr>
    <w:rPr>
      <w:rFonts w:ascii="宋体" w:hAnsi="宋体" w:eastAsia="宋体" w:cs="宋体"/>
      <w:lang w:val="zh-CN" w:eastAsia="zh-CN" w:bidi="zh-CN"/>
    </w:rPr>
  </w:style>
  <w:style w:type="paragraph" w:customStyle="1" w:styleId="10">
    <w:name w:val="Body text|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Table Paragraph"/>
    <w:basedOn w:val="1"/>
    <w:qFormat/>
    <w:uiPriority w:val="1"/>
    <w:pPr>
      <w:spacing w:before="14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2980</Words>
  <Characters>3170</Characters>
  <Lines>0</Lines>
  <Paragraphs>0</Paragraphs>
  <TotalTime>2</TotalTime>
  <ScaleCrop>false</ScaleCrop>
  <LinksUpToDate>false</LinksUpToDate>
  <CharactersWithSpaces>3278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2022-09-13T08:12:00Z</dcterms:created>
  <dc:creator>勇往直前</dc:creator>
  <cp:lastModifiedBy>勇往直前</cp:lastModifiedBy>
  <cp:lastPrinted>2022-09-14T04:13:00Z</cp:lastPrinted>
  <dcterms:modified xsi:type="dcterms:W3CDTF">2022-09-20T02:29:58Z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B1C44A05175A41809B6D3F8EB12E9956</vt:lpwstr>
  </property>
</Properties>
</file>